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Phyllocoptes fructiphilus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Phyllocoptes fructiphilus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Keifer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Chelicerata: Arachnida: Acarida: Eriophyidae</w:t>
            </w:r>
            <w:hyperlink r:id="rId16626803befd2cdb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A1 Quarantine pest (Annex II A)</w:t>
            </w:r>
            <w:hyperlink r:id="rId37096803befd2ce1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PHYCFR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1793281" name="name95536803befd2d622" descr="169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82.jpg"/>
                          <pic:cNvPicPr/>
                        </pic:nvPicPr>
                        <pic:blipFill>
                          <a:blip r:embed="rId91076803befd2d61f" cstate="print"/>
                          <a:stretch>
                            <a:fillRect/>
                          </a:stretch>
                        </pic:blipFill>
                        <pic:spPr>
                          <a:xfrm>
                            <a:off x="0" y="0"/>
                            <a:ext cx="2160000" cy="1281600"/>
                          </a:xfrm>
                          <a:prstGeom prst="rect">
                            <a:avLst/>
                          </a:prstGeom>
                          <a:ln w="0">
                            <a:noFill/>
                          </a:ln>
                        </pic:spPr>
                      </pic:pic>
                    </a:graphicData>
                  </a:graphic>
                </wp:inline>
              </w:drawing>
            </w:r>
            <w:hyperlink r:id="rId85676803befd2d74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known as the rose bud mite, is a species of eriophyoid mite known primarily for its role in the transmission of </w:t>
      </w:r>
      <w:r>
        <w:rPr>
          <w:rFonts w:ascii="Calibri" w:hAnsi="Calibri" w:eastAsia="Calibri" w:cs="Calibri"/>
          <w:i/>
          <w:iCs/>
          <w:color w:val="000000"/>
          <w:sz w:val="22"/>
          <w:szCs w:val="22"/>
        </w:rPr>
        <w:t xml:space="preserve">Emaravirus rosae</w:t>
      </w:r>
      <w:r>
        <w:rPr>
          <w:rFonts w:ascii="Calibri" w:hAnsi="Calibri" w:eastAsia="Calibri" w:cs="Calibri"/>
          <w:color w:val="000000"/>
          <w:sz w:val="22"/>
          <w:szCs w:val="22"/>
        </w:rPr>
        <w:t xml:space="preserve"> (rose rosette emaravirus, RRV), a significant pathogen in roses and the causal agent of rose rosette disease (RRD). There is also a second vector of RRV, a taxonomically distinct species of the same genus,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host plant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Rosa woodsii</w:t>
      </w:r>
      <w:r>
        <w:rPr>
          <w:rFonts w:ascii="Calibri" w:hAnsi="Calibri" w:eastAsia="Calibri" w:cs="Calibri"/>
          <w:color w:val="000000"/>
          <w:sz w:val="22"/>
          <w:szCs w:val="22"/>
        </w:rPr>
        <w:t xml:space="preserve">, a rose species common in the western Great Plains and in arctic regions of North America (Amrine, 2014). Other reported host species include: </w:t>
      </w:r>
      <w:r>
        <w:rPr>
          <w:rFonts w:ascii="Calibri" w:hAnsi="Calibri" w:eastAsia="Calibri" w:cs="Calibri"/>
          <w:i/>
          <w:iCs/>
          <w:color w:val="000000"/>
          <w:sz w:val="22"/>
          <w:szCs w:val="22"/>
        </w:rPr>
        <w:t xml:space="preserve">Rosa arkansana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suffulta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clinophylla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foliolosa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setigera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Rosa virginiana</w:t>
      </w:r>
      <w:r>
        <w:rPr>
          <w:rFonts w:ascii="Calibri" w:hAnsi="Calibri" w:eastAsia="Calibri" w:cs="Calibri"/>
          <w:color w:val="000000"/>
          <w:sz w:val="22"/>
          <w:szCs w:val="22"/>
        </w:rPr>
        <w:t xml:space="preserve">. No hosts outside of the genus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have been reported. Mite reproduction studies on 32 modern rose cultivars have shown they were all suitable hosts (Amrine, 2002;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study of Amrine (2002)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was not able to reproduce on two rose species accessions, </w:t>
      </w:r>
      <w:r>
        <w:rPr>
          <w:rFonts w:ascii="Calibri" w:hAnsi="Calibri" w:eastAsia="Calibri" w:cs="Calibri"/>
          <w:i/>
          <w:iCs/>
          <w:color w:val="000000"/>
          <w:sz w:val="22"/>
          <w:szCs w:val="22"/>
        </w:rPr>
        <w:t xml:space="preserve">R. bracteata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carolina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arkansana var. suffulta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clinophylla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foliolosa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setigera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woodsii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the two RRV vectors,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has not been clearly determined, though they have been identified and reported only in the United States.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is widespread among wild and commercial roses in this country (Amrine, 2002). Because the natural spread of RRV relies on vectors, the distribution of RRV most likely correlates with the distribution of vectoring mites. Reported distribution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is presented below.</w:t>
      </w:r>
    </w:p>
    <w:p>
      <w:r>
        <w:drawing>
          <wp:inline distT="0" distB="0" distL="0" distR="0">
            <wp:extent cx="6120000" cy="3067200"/>
            <wp:docPr id="2805593" name="name10766803befd2e8c1" descr="PHYC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CFR_distribution_map.jpg"/>
                    <pic:cNvPicPr/>
                  </pic:nvPicPr>
                  <pic:blipFill>
                    <a:blip r:embed="rId86266803befd2e8b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California, Delaware, Florida, Georgia, Illinois, Indiana, Iowa, Kansas, Kentucky, Maryland, Missouri, Nebraska, New York, North Carolina, Ohio, Oklahoma, Pennsylvania, South Carolina, South Dakota, Tennessee, Texas, Utah, Virginia,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All mite life stages (eggs, larvae, nymphs, and adults) can be found on plants in open field conditions from spring to autumn. Under experimental conditions the development from egg to adult ranges from 5 to 14 days (Kassar &amp; Amrine, 1990). Population density increases during the spring and summer and usually peaks in autumn (Otero-Colina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especially when new tender shoots start to reemerge on plants after a hot and dry summer (Amrine, 1996; Amrine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Adult females overwinter on rose plants in protected places, mostly under the bud scales and inside bark crevices. When buds break in spring, the females move to newly developing tissues and lay eggs. Under greenhouse conditions mite populations develop continuously. Observations show that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has a life cycle with two, morphologically slightly different forms of females: protogynes and deutogynes, but only one form of males. Protogyne females develop from eggs laid in spring by overwintering females. They live about 30 to 60 days and produce new generations of mites in spring and summer. As the season advances, more offspring develop as deutogyne females, the overwintering form, that hide in protected places and presumably do not reproduce until the next season (Amrine, 2014). Due to arrhenotoky in eriophyoid mites (a form of parthenogenesis in which unfertilized eggs develop into males), even a sole, uninseminated female is able to establish a new population.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mites are generally found under leaf petioles and stipules, especially when these structures are appressed to the stems and on tender apical shoots. They are most abundant towards the tip of growing shoots (Amrine, 2014).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individuals are yellowish-white to amber in colour with a fusiform body (Keifer, 1940). There are another five </w:t>
      </w:r>
      <w:r>
        <w:rPr>
          <w:rFonts w:ascii="Calibri" w:hAnsi="Calibri" w:eastAsia="Calibri" w:cs="Calibri"/>
          <w:i/>
          <w:iCs/>
          <w:color w:val="000000"/>
          <w:sz w:val="22"/>
          <w:szCs w:val="22"/>
        </w:rPr>
        <w:t xml:space="preserve">Phyllocoptes</w:t>
      </w:r>
      <w:r>
        <w:rPr>
          <w:rFonts w:ascii="Calibri" w:hAnsi="Calibri" w:eastAsia="Calibri" w:cs="Calibri"/>
          <w:color w:val="000000"/>
          <w:sz w:val="22"/>
          <w:szCs w:val="22"/>
        </w:rPr>
        <w:t xml:space="preserve"> species identified on rose to date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adalius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chorites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resovius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trilobos</w:t>
      </w:r>
      <w:r>
        <w:rPr>
          <w:rFonts w:ascii="Calibri" w:hAnsi="Calibri" w:eastAsia="Calibri" w:cs="Calibri"/>
          <w:color w:val="000000"/>
          <w:sz w:val="22"/>
          <w:szCs w:val="22"/>
        </w:rPr>
        <w:t xml:space="preserve">) and they all share several morphological features, making species identification based on aspects such as body size or colour impossible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Identifying closely related eriophyoid species morphologically is a task that can only be effectively carried out by skilled acarologists and involves a process of phase contrast microscopic examination (Diakaki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Any stage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(including eggs) can be barcoded using a protocol described in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following accession numbers are available in the NCBI database (last consulted in 2024-01)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 MZ539472-MZ539527 for COX1 gene of mtDNA;</w:t>
      </w:r>
      <w:r>
        <w:rPr>
          <w:rFonts w:ascii="Calibri" w:hAnsi="Calibri" w:eastAsia="Calibri" w:cs="Calibri"/>
          <w:color w:val="000000"/>
          <w:sz w:val="22"/>
          <w:szCs w:val="22"/>
        </w:rPr>
        <w:br/>
        <w:t xml:space="preserve">- MZ520395-MZ520408 for ITS1-5.8S-ITS2 region of rDNA;</w:t>
      </w:r>
      <w:r>
        <w:rPr>
          <w:rFonts w:ascii="Calibri" w:hAnsi="Calibri" w:eastAsia="Calibri" w:cs="Calibri"/>
          <w:color w:val="000000"/>
          <w:sz w:val="22"/>
          <w:szCs w:val="22"/>
        </w:rPr>
        <w:br/>
        <w:t xml:space="preserve">- MH626104-MH626116 for 28S region of rDNA.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direct damage from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feeding on the host plant is not noticeable. However, under certain conditions, dense population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has the potential to cause harm independently as a pest. In such a case leaf and flower malformation as well as delayed bud development and stunting of the plant might be observed (EPPO,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r>
        <w:rPr>
          <w:rFonts w:ascii="Calibri" w:hAnsi="Calibri" w:eastAsia="Calibri" w:cs="Calibri"/>
          <w:color w:val="000000"/>
          <w:sz w:val="22"/>
          <w:szCs w:val="22"/>
        </w:rPr>
        <w:br/>
        <w:t xml:space="preserve">Spherical, translucent to milky-yellow in colour, about 30 µm in diameter.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r>
        <w:rPr>
          <w:rFonts w:ascii="Calibri" w:hAnsi="Calibri" w:eastAsia="Calibri" w:cs="Calibri"/>
          <w:color w:val="000000"/>
          <w:sz w:val="22"/>
          <w:szCs w:val="22"/>
        </w:rPr>
        <w:br/>
        <w:t xml:space="preserve">Body fusiform, yellowish-white in colour, between 70 and 130 µm in length and between 40 and 50 µm in width.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w:t>
      </w:r>
      <w:r>
        <w:rPr>
          <w:rFonts w:ascii="Calibri" w:hAnsi="Calibri" w:eastAsia="Calibri" w:cs="Calibri"/>
          <w:color w:val="000000"/>
          <w:sz w:val="22"/>
          <w:szCs w:val="22"/>
        </w:rPr>
        <w:br/>
        <w:t xml:space="preserve">Body fusiform, yellowish-white in colour, between 140 and 170 µm in length and between 40 and 60 µm in width.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Body fusiform, yellowish-white to amber in colour, between 140 and 240 µm in length and between 40 and 60 µm in width.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is a refuge-seeking mite that prefers to congregate in petiole stem interfaces, under septal trichomes, in young folded leaves, and in flower buds, therefore, these preferred niches should be sampled. Early in flower development, the tightness of sepals and petals restricts access, but as buds loosens in later stages, mites can enter the buds and likely stay through the flower's development. They show a preference for feeding at the sepal base, under trichomes, near bulbous, glandular hairs.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individuals might be also present in winter-collected flower buds and in bark crevices, therefore, imported budwood should be thoroughly inspected (EPPO, 2018; Otero-Colina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0" w:after="0" w:line="240" w:lineRule="auto"/>
        <w:ind w:left="0" w:right="0"/>
        <w:jc w:val="left"/>
      </w:pPr>
      <w:r>
        <w:rPr>
          <w:rFonts w:ascii="Calibri" w:hAnsi="Calibri" w:eastAsia="Calibri" w:cs="Calibri"/>
          <w:color w:val="000000"/>
          <w:sz w:val="22"/>
          <w:szCs w:val="22"/>
        </w:rPr>
        <w:t xml:space="preserve">Eriophyoid mites use wind currents for passive aerial dispersal to new locations (Sabelis &amp; Bruin, 1996; Zhao &amp; Amrine, 1997). This mode of spread is also characteristic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although the maximum distance that mites can spread is not known. The ambulatory dispersal of eriophyoid mites is quite limited, primarily due to their small size. Nevertheless, they are capable of moving from one plant to another when parts of the plants are in direct contact with each other. Human activities, especially transport of infested rose plants contribute to the spread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Entry and establishment of vectoring mites in new areas increase the risk of RRV entry and impact. The disease is having a devastating impact on nurseries, gardens and repositories across the United States, posing a significant threat to the industry's future (Vazquez‐Iglesias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a vital element of the landscape industry, garden roses have seen a notable decline in this country. From 2014 to 2019, there was a 32 % reduction in their production, as reported by the USDA in these years (USDA, 2014; USDA, 2019). Additionally, the risk associated with rose rosette led to a near halt in the export of roses (Diakaki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extent of rose rosette epidemic's impact on the invasive multiflora rose (</w:t>
      </w:r>
      <w:r>
        <w:rPr>
          <w:rFonts w:ascii="Calibri" w:hAnsi="Calibri" w:eastAsia="Calibri" w:cs="Calibri"/>
          <w:i/>
          <w:iCs/>
          <w:color w:val="000000"/>
          <w:sz w:val="22"/>
          <w:szCs w:val="22"/>
        </w:rPr>
        <w:t xml:space="preserve">R. multiflora</w:t>
      </w:r>
      <w:r>
        <w:rPr>
          <w:rFonts w:ascii="Calibri" w:hAnsi="Calibri" w:eastAsia="Calibri" w:cs="Calibri"/>
          <w:color w:val="000000"/>
          <w:sz w:val="22"/>
          <w:szCs w:val="22"/>
        </w:rPr>
        <w:t xml:space="preserve">) in the United States is yet to be determined. Classified as a noxious weed in several states, multiflora rose has spread extensively across various regions, causing ecological disturbances, and reducing usable land (Amrine, 2002). An evaluation is necessary to conclusively determine the impact that this pathosystem has put on noxious multiflora rose.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miticides can be considered, although there is a huge knowledge gap on the effectiveness of available products on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(EPPO, 2018). Little is also known regarding natural enemies that could be used to suppress populations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in protected environments and in the field. Predatory mites, especially of the Phytoseiidae family, are being used to control other eriophyoid species; thus, more research is needed to evaluate their effectiveness against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poses a significant risk to the EPPO region primarily due to its role as a vector of RRV. The existing phytosanitary measures in EPPO countries are not sufficient to substantially reduce the introduction probability of RRV or its vectors. The small size of eriophyoid mites and tendency to reside in refuges or specialized areas of their plant host make detection challenging. Additionally, the limitations of visual inspections and testing at the production sites, coupled with the challenges in controlling the mite and virus spread, underline the need for more effective management strategies in the EPPO region. This complexity highlights the risk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and RRV pose to the rose industry within this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Effective phytosanitary measures should include monitoring and early detection of infestations, destruction of RRV-infected plant material, and control of mite populations. Quarantine regulations and restrictions on the movement of rose plants from areas where rose rosette and vectoring mites were reported are essential. It can be recommended that rose plants for planting and cut flowers should originate from pest-free areas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arcani </w:t>
      </w:r>
      <w:r>
        <w:rPr>
          <w:rFonts w:ascii="Calibri" w:hAnsi="Calibri" w:eastAsia="Calibri" w:cs="Calibri"/>
          <w:color w:val="000000"/>
          <w:sz w:val="22"/>
          <w:szCs w:val="22"/>
        </w:rPr>
        <w:t xml:space="preserve">and RRV and have been packed in conditions preventing mite infestation during transport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(2014) What happens to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the vector of Rose rosette virus in the winter? </w:t>
      </w:r>
      <w:r>
        <w:rPr>
          <w:rFonts w:ascii="Calibri" w:hAnsi="Calibri" w:eastAsia="Calibri" w:cs="Calibri"/>
          <w:i/>
          <w:iCs/>
          <w:color w:val="000000"/>
          <w:sz w:val="22"/>
          <w:szCs w:val="22"/>
        </w:rPr>
        <w:t xml:space="preserve">American Rose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(12), 118–121.</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(2002) Multiflora Rose. In: </w:t>
      </w:r>
      <w:r>
        <w:rPr>
          <w:rFonts w:ascii="Calibri" w:hAnsi="Calibri" w:eastAsia="Calibri" w:cs="Calibri"/>
          <w:i/>
          <w:iCs/>
          <w:color w:val="000000"/>
          <w:sz w:val="22"/>
          <w:szCs w:val="22"/>
        </w:rPr>
        <w:t xml:space="preserve">Biological Control of Invasive Plants in the Eastern United States</w:t>
      </w:r>
      <w:r>
        <w:rPr>
          <w:rFonts w:ascii="Calibri" w:hAnsi="Calibri" w:eastAsia="Calibri" w:cs="Calibri"/>
          <w:color w:val="000000"/>
          <w:sz w:val="22"/>
          <w:szCs w:val="22"/>
        </w:rPr>
        <w:t xml:space="preserve">. USDA Forest Service, pp. 265–292.</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(1996) 4.1. 2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and biological control of multiflora rose. In: </w:t>
      </w:r>
      <w:r>
        <w:rPr>
          <w:rFonts w:ascii="Calibri" w:hAnsi="Calibri" w:eastAsia="Calibri" w:cs="Calibri"/>
          <w:i/>
          <w:iCs/>
          <w:color w:val="000000"/>
          <w:sz w:val="22"/>
          <w:szCs w:val="22"/>
        </w:rPr>
        <w:t xml:space="preserve">World Crop Pests</w:t>
      </w:r>
      <w:r>
        <w:rPr>
          <w:rFonts w:ascii="Calibri" w:hAnsi="Calibri" w:eastAsia="Calibri" w:cs="Calibri"/>
          <w:color w:val="000000"/>
          <w:sz w:val="22"/>
          <w:szCs w:val="22"/>
        </w:rPr>
        <w:t xml:space="preserve">. Elsevier, pp. 741–749.</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Hindal DF, Stasny TA, Williams RL &amp; Coffman CC (1988) Transmission of the rose rosette disease agent to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(Acari: Eriophyidae). </w:t>
      </w:r>
      <w:r>
        <w:rPr>
          <w:rFonts w:ascii="Calibri" w:hAnsi="Calibri" w:eastAsia="Calibri" w:cs="Calibri"/>
          <w:i/>
          <w:iCs/>
          <w:color w:val="000000"/>
          <w:sz w:val="22"/>
          <w:szCs w:val="22"/>
        </w:rPr>
        <w:t xml:space="preserve">Entomological News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239-252.</w:t>
      </w:r>
    </w:p>
    <w:p>
      <w:pPr>
        <w:widowControl w:val="on"/>
        <w:pBdr/>
        <w:spacing w:before="220" w:after="220" w:line="240" w:lineRule="auto"/>
        <w:ind w:left="0" w:right="0"/>
        <w:jc w:val="left"/>
      </w:pPr>
      <w:r>
        <w:rPr>
          <w:rFonts w:ascii="Calibri" w:hAnsi="Calibri" w:eastAsia="Calibri" w:cs="Calibri"/>
          <w:color w:val="000000"/>
          <w:sz w:val="22"/>
          <w:szCs w:val="22"/>
        </w:rPr>
        <w:t xml:space="preserve">Di Bello PL, Thekke-Veetil T, Druciarek T &amp; Tzanetakis IE (2018) Transmission attributes and resistance to rose rosette virus.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499–504. </w:t>
      </w:r>
      <w:hyperlink r:id="rId92396803befd2f50d" w:history="1">
        <w:r>
          <w:rPr>
            <w:rFonts w:ascii="Calibri" w:hAnsi="Calibri" w:eastAsia="Calibri" w:cs="Calibri"/>
            <w:color w:val="0000CC"/>
            <w:sz w:val="22"/>
            <w:szCs w:val="22"/>
            <w:u w:val="single"/>
          </w:rPr>
          <w:t xml:space="preserve">https://doi.org/10/ggrf8g</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Diakaki M, Kinkar M, Lillo E de, Rosace MC &amp; Vos S (2019) Pest survey card on rose rosette virus.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1748E. </w:t>
      </w:r>
      <w:hyperlink r:id="rId91456803befd2f586" w:history="1">
        <w:r>
          <w:rPr>
            <w:rFonts w:ascii="Calibri" w:hAnsi="Calibri" w:eastAsia="Calibri" w:cs="Calibri"/>
            <w:color w:val="0000CC"/>
            <w:sz w:val="22"/>
            <w:szCs w:val="22"/>
            <w:u w:val="single"/>
          </w:rPr>
          <w:t xml:space="preserve">https://doi.org/10.2903/sp.efsa.2019.EN-1748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Druciarek T, Lewandowski M &amp; Tzanetakis I (2021) Molecular phylogeny of </w:t>
      </w:r>
      <w:r>
        <w:rPr>
          <w:rFonts w:ascii="Calibri" w:hAnsi="Calibri" w:eastAsia="Calibri" w:cs="Calibri"/>
          <w:i/>
          <w:iCs/>
          <w:color w:val="000000"/>
          <w:sz w:val="22"/>
          <w:szCs w:val="22"/>
        </w:rPr>
        <w:t xml:space="preserve">Phyllocoptes</w:t>
      </w:r>
      <w:r>
        <w:rPr>
          <w:rFonts w:ascii="Calibri" w:hAnsi="Calibri" w:eastAsia="Calibri" w:cs="Calibri"/>
          <w:color w:val="000000"/>
          <w:sz w:val="22"/>
          <w:szCs w:val="22"/>
        </w:rPr>
        <w:t xml:space="preserve"> associated with roses discloses the presence of a new species. </w:t>
      </w:r>
      <w:r>
        <w:rPr>
          <w:rFonts w:ascii="Calibri" w:hAnsi="Calibri" w:eastAsia="Calibri" w:cs="Calibri"/>
          <w:i/>
          <w:iCs/>
          <w:color w:val="000000"/>
          <w:sz w:val="22"/>
          <w:szCs w:val="22"/>
        </w:rPr>
        <w:t xml:space="preserve">Infection, 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105051. </w:t>
      </w:r>
      <w:hyperlink r:id="rId22676803befd2f618" w:history="1">
        <w:r>
          <w:rPr>
            <w:rFonts w:ascii="Calibri" w:hAnsi="Calibri" w:eastAsia="Calibri" w:cs="Calibri"/>
            <w:color w:val="0000CC"/>
            <w:sz w:val="22"/>
            <w:szCs w:val="22"/>
            <w:u w:val="single"/>
          </w:rPr>
          <w:t xml:space="preserve">https://doi.org/10.1016/j.meegid.2021.105051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Druciarek T, Lewandowski M &amp; Tzanetakis I (2019) A new, sensitive and efficient method for taxonomic placement in the Eriophyoidea and virus detection in individual eriophyoids.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247–261. </w:t>
      </w:r>
      <w:hyperlink r:id="rId55106803befd2f68a" w:history="1">
        <w:r>
          <w:rPr>
            <w:rFonts w:ascii="Calibri" w:hAnsi="Calibri" w:eastAsia="Calibri" w:cs="Calibri"/>
            <w:color w:val="0000CC"/>
            <w:sz w:val="22"/>
            <w:szCs w:val="22"/>
            <w:u w:val="single"/>
          </w:rPr>
          <w:t xml:space="preserve">https://doi.org/10.1007/s10493-019-00382-4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Druciarek T, Lewandowski M &amp; Tzanetakis IE (2023) Identification of a second vector for rose rosette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(8), 2313-2315. </w:t>
      </w:r>
      <w:hyperlink r:id="rId67726803befd2f6fa" w:history="1">
        <w:r>
          <w:rPr>
            <w:rFonts w:ascii="Calibri" w:hAnsi="Calibri" w:eastAsia="Calibri" w:cs="Calibri"/>
            <w:color w:val="0000CC"/>
            <w:sz w:val="22"/>
            <w:szCs w:val="22"/>
            <w:u w:val="single"/>
          </w:rPr>
          <w:t xml:space="preserve">https://doi.org/10.1094/PDIS-11-22-2686-SC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Rose rosette virus and its vector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Available at: </w:t>
      </w:r>
      <w:hyperlink r:id="rId19556803befd2f74d" w:history="1">
        <w:r>
          <w:rPr>
            <w:rFonts w:ascii="Calibri" w:hAnsi="Calibri" w:eastAsia="Calibri" w:cs="Calibri"/>
            <w:color w:val="0000CC"/>
            <w:sz w:val="22"/>
            <w:szCs w:val="22"/>
            <w:u w:val="single"/>
          </w:rPr>
          <w:t xml:space="preserve">https://gd.eppo.int/taxon/RRV000/documents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Kassar A &amp; Amrine JW (1990) Rearing and development of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(Acari:Eriophyidae).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276–282.</w:t>
      </w:r>
    </w:p>
    <w:p>
      <w:pPr>
        <w:widowControl w:val="on"/>
        <w:pBdr/>
        <w:spacing w:before="220" w:after="220" w:line="240" w:lineRule="auto"/>
        <w:ind w:left="0" w:right="0"/>
        <w:jc w:val="left"/>
      </w:pPr>
      <w:r>
        <w:rPr>
          <w:rFonts w:ascii="Calibri" w:hAnsi="Calibri" w:eastAsia="Calibri" w:cs="Calibri"/>
          <w:color w:val="000000"/>
          <w:sz w:val="22"/>
          <w:szCs w:val="22"/>
        </w:rPr>
        <w:t xml:space="preserve">Keifer HH (1940) Eriophyid studies VIII. </w:t>
      </w:r>
      <w:r>
        <w:rPr>
          <w:rFonts w:ascii="Calibri" w:hAnsi="Calibri" w:eastAsia="Calibri" w:cs="Calibri"/>
          <w:i/>
          <w:iCs/>
          <w:color w:val="000000"/>
          <w:sz w:val="22"/>
          <w:szCs w:val="22"/>
        </w:rPr>
        <w:t xml:space="preserve">Bulletin of the California Department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21–46.</w:t>
      </w:r>
    </w:p>
    <w:p>
      <w:pPr>
        <w:widowControl w:val="on"/>
        <w:pBdr/>
        <w:spacing w:before="220" w:after="220" w:line="240" w:lineRule="auto"/>
        <w:ind w:left="0" w:right="0"/>
        <w:jc w:val="left"/>
      </w:pPr>
      <w:r>
        <w:rPr>
          <w:rFonts w:ascii="Calibri" w:hAnsi="Calibri" w:eastAsia="Calibri" w:cs="Calibri"/>
          <w:color w:val="000000"/>
          <w:sz w:val="22"/>
          <w:szCs w:val="22"/>
        </w:rPr>
        <w:t xml:space="preserve">Otero-Colina G, Ochoa R, Amrine JW Jr, Hammond J, Jordan R &amp; Bauchan GR (2018) Eriophyoid mites found on healthy and rose rosette diseased roses in the United States</w:t>
      </w:r>
      <w:r>
        <w:rPr>
          <w:rFonts w:ascii="Calibri" w:hAnsi="Calibri" w:eastAsia="Calibri" w:cs="Calibri"/>
          <w:i/>
          <w:iCs/>
          <w:color w:val="000000"/>
          <w:sz w:val="22"/>
          <w:szCs w:val="22"/>
        </w:rPr>
        <w:t xml:space="preserve">. Journal of Environmental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146–153. </w:t>
      </w:r>
      <w:hyperlink r:id="rId72256803befd2f8b2" w:history="1">
        <w:r>
          <w:rPr>
            <w:rFonts w:ascii="Calibri" w:hAnsi="Calibri" w:eastAsia="Calibri" w:cs="Calibri"/>
            <w:color w:val="0000CC"/>
            <w:sz w:val="22"/>
            <w:szCs w:val="22"/>
            <w:u w:val="single"/>
          </w:rPr>
          <w:t xml:space="preserve">https://doi.org/10.24266/0738-2898-36.4.146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Sabelis MW &amp; Bruin J (1996) 1.5.3. Evolutionary ecology: Life history patterns, food plant choice and dispersal. In: Lindquist EE, Sabelis MW, Bruin J (Eds.) </w:t>
      </w:r>
      <w:r>
        <w:rPr>
          <w:rFonts w:ascii="Calibri" w:hAnsi="Calibri" w:eastAsia="Calibri" w:cs="Calibri"/>
          <w:i/>
          <w:iCs/>
          <w:color w:val="000000"/>
          <w:sz w:val="22"/>
          <w:szCs w:val="22"/>
        </w:rPr>
        <w:t xml:space="preserve">World Crop Pests, Eriophyoid Mites Their Biology, Natural Enemies and Control</w:t>
      </w:r>
      <w:r>
        <w:rPr>
          <w:rFonts w:ascii="Calibri" w:hAnsi="Calibri" w:eastAsia="Calibri" w:cs="Calibri"/>
          <w:color w:val="000000"/>
          <w:sz w:val="22"/>
          <w:szCs w:val="22"/>
        </w:rPr>
        <w:t xml:space="preserve">. Elsevier, pp. 329–366. </w:t>
      </w:r>
      <w:hyperlink r:id="rId49356803befd2f908" w:history="1">
        <w:r>
          <w:rPr>
            <w:rFonts w:ascii="Calibri" w:hAnsi="Calibri" w:eastAsia="Calibri" w:cs="Calibri"/>
            <w:color w:val="0000CC"/>
            <w:sz w:val="22"/>
            <w:szCs w:val="22"/>
            <w:u w:val="single"/>
          </w:rPr>
          <w:t xml:space="preserve">https://doi.org/10.1016/S1572-4379(96)80020-0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Solo KM, Collins SB, Schneider LG, Hajimorad MR, Hale FA, Wilkerson JB, Windham AS, Byrne DH &amp; Windham MT (2019) Evaluation of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species accessions for resistance to Eriophyid mites. </w:t>
      </w:r>
      <w:r>
        <w:rPr>
          <w:rFonts w:ascii="Calibri" w:hAnsi="Calibri" w:eastAsia="Calibri" w:cs="Calibri"/>
          <w:i/>
          <w:iCs/>
          <w:color w:val="000000"/>
          <w:sz w:val="22"/>
          <w:szCs w:val="22"/>
        </w:rPr>
        <w:t xml:space="preserve">Journal of Environmental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108–112. </w:t>
      </w:r>
      <w:hyperlink r:id="rId23336803befd2f99b" w:history="1">
        <w:r>
          <w:rPr>
            <w:rFonts w:ascii="Calibri" w:hAnsi="Calibri" w:eastAsia="Calibri" w:cs="Calibri"/>
            <w:color w:val="0000CC"/>
            <w:sz w:val="22"/>
            <w:szCs w:val="22"/>
            <w:u w:val="single"/>
          </w:rPr>
          <w:t xml:space="preserve">https://doi.org/10.24266/0738-2898-37.4.108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Vazquez‐Iglesias I, Ochoa‐Corona FM, Tang J, Robinson R, Clover GRG, Fox A &amp; Boonham N (2020) Facing Rose rosette virus: A risk to European rose cultivation.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1603–1617. </w:t>
      </w:r>
      <w:hyperlink r:id="rId52256803befd2fa0c" w:history="1">
        <w:r>
          <w:rPr>
            <w:rFonts w:ascii="Calibri" w:hAnsi="Calibri" w:eastAsia="Calibri" w:cs="Calibri"/>
            <w:color w:val="0000CC"/>
            <w:sz w:val="22"/>
            <w:szCs w:val="22"/>
            <w:u w:val="single"/>
          </w:rPr>
          <w:t xml:space="preserve">https://doi.org/10.1111/ppa.13255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Zhao S &amp; Amrine JW (1997) Investigation of snowborne mites (Acari) and relevancy to dispersal. </w:t>
      </w:r>
      <w:r>
        <w:rPr>
          <w:rFonts w:ascii="Calibri" w:hAnsi="Calibri" w:eastAsia="Calibri" w:cs="Calibri"/>
          <w:i/>
          <w:iCs/>
          <w:color w:val="000000"/>
          <w:sz w:val="22"/>
          <w:szCs w:val="22"/>
        </w:rPr>
        <w:t xml:space="preserve">International Journal of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209–213. </w:t>
      </w:r>
      <w:hyperlink r:id="rId19136803befd2fa7f" w:history="1">
        <w:r>
          <w:rPr>
            <w:rFonts w:ascii="Calibri" w:hAnsi="Calibri" w:eastAsia="Calibri" w:cs="Calibri"/>
            <w:color w:val="0000CC"/>
            <w:sz w:val="22"/>
            <w:szCs w:val="22"/>
            <w:u w:val="single"/>
          </w:rPr>
          <w:t xml:space="preserve">https://doi.org/10.1080/01647959708683565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2024 by Tobiasz Druciarek [Department of Plant Protection, Institute of Horticultural Sciences, Warsaw University of Life Sciences, Poland].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EPPO datasheets on pests recommended for regulation. Available online. </w:t>
      </w:r>
      <w:hyperlink r:id="rId61426803befd2fb3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7281735" name="name17026803befd2fbf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2656803befd2fbf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814015">
    <w:multiLevelType w:val="hybridMultilevel"/>
    <w:lvl w:ilvl="0" w:tplc="78987199">
      <w:start w:val="1"/>
      <w:numFmt w:val="decimal"/>
      <w:lvlText w:val="%1."/>
      <w:lvlJc w:val="left"/>
      <w:pPr>
        <w:ind w:left="720" w:hanging="360"/>
      </w:pPr>
    </w:lvl>
    <w:lvl w:ilvl="1" w:tplc="78987199" w:tentative="1">
      <w:start w:val="1"/>
      <w:numFmt w:val="lowerLetter"/>
      <w:lvlText w:val="%2."/>
      <w:lvlJc w:val="left"/>
      <w:pPr>
        <w:ind w:left="1440" w:hanging="360"/>
      </w:pPr>
    </w:lvl>
    <w:lvl w:ilvl="2" w:tplc="78987199" w:tentative="1">
      <w:start w:val="1"/>
      <w:numFmt w:val="lowerRoman"/>
      <w:lvlText w:val="%3."/>
      <w:lvlJc w:val="right"/>
      <w:pPr>
        <w:ind w:left="2160" w:hanging="180"/>
      </w:pPr>
    </w:lvl>
    <w:lvl w:ilvl="3" w:tplc="78987199" w:tentative="1">
      <w:start w:val="1"/>
      <w:numFmt w:val="decimal"/>
      <w:lvlText w:val="%4."/>
      <w:lvlJc w:val="left"/>
      <w:pPr>
        <w:ind w:left="2880" w:hanging="360"/>
      </w:pPr>
    </w:lvl>
    <w:lvl w:ilvl="4" w:tplc="78987199" w:tentative="1">
      <w:start w:val="1"/>
      <w:numFmt w:val="lowerLetter"/>
      <w:lvlText w:val="%5."/>
      <w:lvlJc w:val="left"/>
      <w:pPr>
        <w:ind w:left="3600" w:hanging="360"/>
      </w:pPr>
    </w:lvl>
    <w:lvl w:ilvl="5" w:tplc="78987199" w:tentative="1">
      <w:start w:val="1"/>
      <w:numFmt w:val="lowerRoman"/>
      <w:lvlText w:val="%6."/>
      <w:lvlJc w:val="right"/>
      <w:pPr>
        <w:ind w:left="4320" w:hanging="180"/>
      </w:pPr>
    </w:lvl>
    <w:lvl w:ilvl="6" w:tplc="78987199" w:tentative="1">
      <w:start w:val="1"/>
      <w:numFmt w:val="decimal"/>
      <w:lvlText w:val="%7."/>
      <w:lvlJc w:val="left"/>
      <w:pPr>
        <w:ind w:left="5040" w:hanging="360"/>
      </w:pPr>
    </w:lvl>
    <w:lvl w:ilvl="7" w:tplc="78987199" w:tentative="1">
      <w:start w:val="1"/>
      <w:numFmt w:val="lowerLetter"/>
      <w:lvlText w:val="%8."/>
      <w:lvlJc w:val="left"/>
      <w:pPr>
        <w:ind w:left="5760" w:hanging="360"/>
      </w:pPr>
    </w:lvl>
    <w:lvl w:ilvl="8" w:tplc="78987199" w:tentative="1">
      <w:start w:val="1"/>
      <w:numFmt w:val="lowerRoman"/>
      <w:lvlText w:val="%9."/>
      <w:lvlJc w:val="right"/>
      <w:pPr>
        <w:ind w:left="6480" w:hanging="180"/>
      </w:pPr>
    </w:lvl>
  </w:abstractNum>
  <w:abstractNum w:abstractNumId="58814014">
    <w:multiLevelType w:val="hybridMultilevel"/>
    <w:lvl w:ilvl="0" w:tplc="535528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814014">
    <w:abstractNumId w:val="58814014"/>
  </w:num>
  <w:num w:numId="58814015">
    <w:abstractNumId w:val="5881401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0406382" Type="http://schemas.microsoft.com/office/2011/relationships/commentsExtended" Target="commentsExtended.xml"/><Relationship Id="rId251523856" Type="http://schemas.microsoft.com/office/2011/relationships/people" Target="people.xml"/><Relationship Id="rId16626803befd2cdb2" Type="http://schemas.openxmlformats.org/officeDocument/2006/relationships/hyperlink" Target="https://gd.eppo.int/taxon/PHYCFR/" TargetMode="External"/><Relationship Id="rId37096803befd2ce1f" Type="http://schemas.openxmlformats.org/officeDocument/2006/relationships/hyperlink" Target="https://gd.eppo.int/taxon/PHYCFR/categorization" TargetMode="External"/><Relationship Id="rId85676803befd2d74b" Type="http://schemas.openxmlformats.org/officeDocument/2006/relationships/hyperlink" Target="https://gd.eppo.int/taxon/PHYCFR/photos" TargetMode="External"/><Relationship Id="rId92396803befd2f50d" Type="http://schemas.openxmlformats.org/officeDocument/2006/relationships/hyperlink" Target="https://doi.org/10/ggrf8g" TargetMode="External"/><Relationship Id="rId91456803befd2f586" Type="http://schemas.openxmlformats.org/officeDocument/2006/relationships/hyperlink" Target="https://doi.org/10.2903/sp.efsa.2019.EN-1748" TargetMode="External"/><Relationship Id="rId22676803befd2f618" Type="http://schemas.openxmlformats.org/officeDocument/2006/relationships/hyperlink" Target="https://doi.org/10.1016/j.meegid.2021.105051" TargetMode="External"/><Relationship Id="rId55106803befd2f68a" Type="http://schemas.openxmlformats.org/officeDocument/2006/relationships/hyperlink" Target="https://doi.org/10.1007/s10493-019-00382-4" TargetMode="External"/><Relationship Id="rId67726803befd2f6fa" Type="http://schemas.openxmlformats.org/officeDocument/2006/relationships/hyperlink" Target="https://doi.org/10.1094/PDIS-11-22-2686-SC" TargetMode="External"/><Relationship Id="rId19556803befd2f74d" Type="http://schemas.openxmlformats.org/officeDocument/2006/relationships/hyperlink" Target="https://gd.eppo.int/taxon/RRV000/documents" TargetMode="External"/><Relationship Id="rId72256803befd2f8b2" Type="http://schemas.openxmlformats.org/officeDocument/2006/relationships/hyperlink" Target="https://doi.org/10.24266/0738-2898-36.4.146" TargetMode="External"/><Relationship Id="rId49356803befd2f908" Type="http://schemas.openxmlformats.org/officeDocument/2006/relationships/hyperlink" Target="https://doi.org/10.1016/S1572-4379(96)80020-0" TargetMode="External"/><Relationship Id="rId23336803befd2f99b" Type="http://schemas.openxmlformats.org/officeDocument/2006/relationships/hyperlink" Target="https://doi.org/10.24266/0738-2898-37.4.108" TargetMode="External"/><Relationship Id="rId52256803befd2fa0c" Type="http://schemas.openxmlformats.org/officeDocument/2006/relationships/hyperlink" Target="https://doi.org/10.1111/ppa.13255" TargetMode="External"/><Relationship Id="rId19136803befd2fa7f" Type="http://schemas.openxmlformats.org/officeDocument/2006/relationships/hyperlink" Target="https://doi.org/10.1080/01647959708683565" TargetMode="External"/><Relationship Id="rId61426803befd2fb35" Type="http://schemas.openxmlformats.org/officeDocument/2006/relationships/hyperlink" Target="https://gd.eppo.int" TargetMode="External"/><Relationship Id="rId91076803befd2d61f" Type="http://schemas.openxmlformats.org/officeDocument/2006/relationships/image" Target="media/imgrId91076803befd2d61f.jpg"/><Relationship Id="rId86266803befd2e8be" Type="http://schemas.openxmlformats.org/officeDocument/2006/relationships/image" Target="media/imgrId86266803befd2e8be.jpg"/><Relationship Id="rId52656803befd2fbf4" Type="http://schemas.openxmlformats.org/officeDocument/2006/relationships/image" Target="media/imgrId52656803befd2fbf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