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Botryosphaeria kuwatsukai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kuwatsukai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(Hara) G.Y. Sun &amp; E. Tanaka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Botryosphaeriaceae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berengeriana f. sp. pyricola</w:t>
            </w:r>
            <w:r>
              <w:rPr>
                <w:rFonts w:ascii="Calibri" w:hAnsi="Calibri" w:eastAsia="Calibri" w:cs="Calibri"/>
                <w:color w:val="000000"/>
                <w:position w:val="-3"/>
                <w:sz w:val="22"/>
                <w:szCs w:val="22"/>
              </w:rPr>
              <w:t xml:space="preserve"> (Nose) Koganezawa &amp; Sakuma, </w:t>
            </w:r>
            <w:r>
              <w:rPr>
                <w:rFonts w:ascii="Calibri" w:hAnsi="Calibri" w:eastAsia="Calibri" w:cs="Calibri"/>
                <w:i/>
                <w:iCs/>
                <w:color w:val="000000"/>
                <w:position w:val="-3"/>
                <w:sz w:val="22"/>
                <w:szCs w:val="22"/>
              </w:rPr>
              <w:t xml:space="preserve">Guignardia pyricola</w:t>
            </w:r>
            <w:r>
              <w:rPr>
                <w:rFonts w:ascii="Calibri" w:hAnsi="Calibri" w:eastAsia="Calibri" w:cs="Calibri"/>
                <w:color w:val="000000"/>
                <w:position w:val="-3"/>
                <w:sz w:val="22"/>
                <w:szCs w:val="22"/>
              </w:rPr>
              <w:t xml:space="preserve"> (Nose) Yamamoto, </w:t>
            </w:r>
            <w:r>
              <w:rPr>
                <w:rFonts w:ascii="Calibri" w:hAnsi="Calibri" w:eastAsia="Calibri" w:cs="Calibri"/>
                <w:i/>
                <w:iCs/>
                <w:color w:val="000000"/>
                <w:position w:val="-3"/>
                <w:sz w:val="22"/>
                <w:szCs w:val="22"/>
              </w:rPr>
              <w:t xml:space="preserve">Macrophoma kuwatsukai</w:t>
            </w:r>
            <w:r>
              <w:rPr>
                <w:rFonts w:ascii="Calibri" w:hAnsi="Calibri" w:eastAsia="Calibri" w:cs="Calibri"/>
                <w:color w:val="000000"/>
                <w:position w:val="-3"/>
                <w:sz w:val="22"/>
                <w:szCs w:val="22"/>
              </w:rPr>
              <w:t xml:space="preserve"> Hara, </w:t>
            </w:r>
            <w:r>
              <w:rPr>
                <w:rFonts w:ascii="Calibri" w:hAnsi="Calibri" w:eastAsia="Calibri" w:cs="Calibri"/>
                <w:i/>
                <w:iCs/>
                <w:color w:val="000000"/>
                <w:position w:val="-3"/>
                <w:sz w:val="22"/>
                <w:szCs w:val="22"/>
              </w:rPr>
              <w:t xml:space="preserve">Macrophoma pyrorum</w:t>
            </w:r>
            <w:r>
              <w:rPr>
                <w:rFonts w:ascii="Calibri" w:hAnsi="Calibri" w:eastAsia="Calibri" w:cs="Calibri"/>
                <w:color w:val="000000"/>
                <w:position w:val="-3"/>
                <w:sz w:val="22"/>
                <w:szCs w:val="22"/>
              </w:rPr>
              <w:t xml:space="preserve"> Cooke, </w:t>
            </w:r>
            <w:r>
              <w:rPr>
                <w:rFonts w:ascii="Calibri" w:hAnsi="Calibri" w:eastAsia="Calibri" w:cs="Calibri"/>
                <w:i/>
                <w:iCs/>
                <w:color w:val="000000"/>
                <w:position w:val="-3"/>
                <w:sz w:val="22"/>
                <w:szCs w:val="22"/>
              </w:rPr>
              <w:t xml:space="preserve">Physalospora pyricola</w:t>
            </w:r>
            <w:r>
              <w:rPr>
                <w:rFonts w:ascii="Calibri" w:hAnsi="Calibri" w:eastAsia="Calibri" w:cs="Calibri"/>
                <w:color w:val="000000"/>
                <w:position w:val="-3"/>
                <w:sz w:val="22"/>
                <w:szCs w:val="22"/>
              </w:rPr>
              <w:t xml:space="preserve"> Nose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blister canker of pome fruits, physalospora canker of pome fruits, ring rot of apple, wart bark of apple</w:t>
            </w:r>
            <w:hyperlink r:id="rId1627679c399035f9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85679c399035fd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PHYOPI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is one of the most destructive apple diseases worldwide and it is caused primarily by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which were considered to be synonyms for a long time (Sinclair &amp; Lyon, 2005). The pathogen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was initially reported as </w:t>
      </w:r>
      <w:r>
        <w:rPr>
          <w:rFonts w:ascii="Calibri" w:hAnsi="Calibri" w:eastAsia="Calibri" w:cs="Calibri"/>
          <w:i/>
          <w:iCs/>
          <w:color w:val="000000"/>
          <w:sz w:val="22"/>
          <w:szCs w:val="22"/>
        </w:rPr>
        <w:t xml:space="preserve">Physalospora piricola</w:t>
      </w:r>
      <w:r>
        <w:rPr>
          <w:rFonts w:ascii="Calibri" w:hAnsi="Calibri" w:eastAsia="Calibri" w:cs="Calibri"/>
          <w:color w:val="000000"/>
          <w:sz w:val="22"/>
          <w:szCs w:val="22"/>
        </w:rPr>
        <w:t xml:space="preserve"> in Japan, while the name </w:t>
      </w:r>
      <w:r>
        <w:rPr>
          <w:rFonts w:ascii="Calibri" w:hAnsi="Calibri" w:eastAsia="Calibri" w:cs="Calibri"/>
          <w:i/>
          <w:iCs/>
          <w:color w:val="000000"/>
          <w:sz w:val="22"/>
          <w:szCs w:val="22"/>
        </w:rPr>
        <w:t xml:space="preserve">Guignardia piricola</w:t>
      </w:r>
      <w:r>
        <w:rPr>
          <w:rFonts w:ascii="Calibri" w:hAnsi="Calibri" w:eastAsia="Calibri" w:cs="Calibri"/>
          <w:color w:val="000000"/>
          <w:sz w:val="22"/>
          <w:szCs w:val="22"/>
        </w:rPr>
        <w:t xml:space="preserve"> was proposed by Yamamoto (1961) for the same pathogen, but not accepted. Later, </w:t>
      </w:r>
      <w:r>
        <w:rPr>
          <w:rFonts w:ascii="Calibri" w:hAnsi="Calibri" w:eastAsia="Calibri" w:cs="Calibri"/>
          <w:i/>
          <w:iCs/>
          <w:color w:val="000000"/>
          <w:sz w:val="22"/>
          <w:szCs w:val="22"/>
        </w:rPr>
        <w:t xml:space="preserve">P. piricola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another fungus causing fruit rot in Japan (Koganezawa &amp; Sakuma, 1980). However, despite </w:t>
      </w:r>
      <w:r>
        <w:rPr>
          <w:rFonts w:ascii="Calibri" w:hAnsi="Calibri" w:eastAsia="Calibri" w:cs="Calibri"/>
          <w:i/>
          <w:iCs/>
          <w:color w:val="000000"/>
          <w:sz w:val="22"/>
          <w:szCs w:val="22"/>
        </w:rPr>
        <w:t xml:space="preserve">P. piricola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are indistinguishable in terms of morphology, isolates of these species caused different canker symptoms, therefore, a new name,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proposed (Koganezawa &amp; Sakuma, 1980;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generally considered to be a synonym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pyricola</w:t>
      </w:r>
      <w:r>
        <w:rPr>
          <w:rFonts w:ascii="Calibri" w:hAnsi="Calibri" w:eastAsia="Calibri" w:cs="Calibri"/>
          <w:color w:val="000000"/>
          <w:sz w:val="22"/>
          <w:szCs w:val="22"/>
        </w:rPr>
        <w:t xml:space="preserve"> demonstrates substantial genetic, morphological and biological distinctions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such as different number and length of group I introns in the primary structures of the 18S rDNA, and different structure of aerial mycelia and pathogenicity tests on pear stems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morphological, phylogenetic, pathological, and molecular analyses of reference isolates of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from Japan, New Zealand, and Switzerland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the existence of two species within the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isolates: one species included an ex-epitype isolate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and the other an isolate previously designated as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Thus,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described as a new species, namely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causing fruit ring rot and extensive cankers and/or warts on pear stems, whereas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was recognized to occur non-pathogenically on pear stems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both species can infect apple stems and fruits and cause similar symptoms in apples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Japanese pears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but European pears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are also be affected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Other hosts are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Malus micromalus</w:t>
      </w:r>
      <w:r>
        <w:rPr>
          <w:rFonts w:ascii="Calibri" w:hAnsi="Calibri" w:eastAsia="Calibri" w:cs="Calibri"/>
          <w:color w:val="000000"/>
          <w:sz w:val="22"/>
          <w:szCs w:val="22"/>
        </w:rPr>
        <w:t xml:space="preserve"> which were mentioned by Kato (1973) and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(CABI, 2023), but no additional references were found to confirm susceptibility of these plants to the pathogen, so there is still uncertainty about these hosts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been recorded only from Eastern Asia and has not apparently widely spread from there. The name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has also been used for an apple pathogen in Brazil, but presumably refers to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w:t>
      </w:r>
    </w:p>
    <w:p>
      <w:r>
        <w:drawing>
          <wp:inline distT="0" distB="0" distL="0" distR="0">
            <wp:extent cx="6120000" cy="3067200"/>
            <wp:docPr id="69436008" name="name9871679c39903771c" descr="PHY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OPI_distribution_map.jpg"/>
                    <pic:cNvPicPr/>
                  </pic:nvPicPr>
                  <pic:blipFill>
                    <a:blip r:embed="rId5736679c39903771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Guangxi, Hebei, Henan, Hubei, Jiangsu, Jiangxi, Jilin, Liaoning, Shaanxi, Shandong, Shanxi, Sichuan, Zhejiang), Japan (Honshu,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kuwatsukai</w:t>
      </w:r>
      <w:r>
        <w:rPr>
          <w:rFonts w:ascii="Calibri" w:hAnsi="Calibri" w:eastAsia="Calibri" w:cs="Calibri"/>
          <w:color w:val="000000"/>
          <w:sz w:val="22"/>
          <w:szCs w:val="22"/>
        </w:rPr>
        <w:t xml:space="preserve"> infects branches, shoots, leaves and fruits of its hosts. The fungus causes large cankers and bark blisters 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whereas on apple shoots, it induces large wart-like bark swellings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disease is characterized by black pycnidial stromata that differentiate beneath the surface of killed bark and break through at maturity (Sinclair &amp; Lyon, 2005). Stromata vary in shape, pycnidia form on diseased branches and shoots after these have withered, during the period from April to September, but mainly in August and September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EPPO, 2023). Sporulation is most abundant on infected shoots which are 2–3 years old and less on older wood (Sinclair &amp; Lyon, 2005). Under wet weather conditions when infected bark is moist, one-celled, colourless conidia 17–25 x 5–7 µm, somewhat narrowed at each end, extrude in a white mass from the pore at the top of each pycnidium (Sinclair &amp; Lyon, 2005). The conidia are rain-dispersed, usually up to about 10 m, but exceptionally up to 20 m by strong wind-driven rain (Sinclair &amp; Lyon, 2005). They mostly germinate within 24 h, and the peak of conidia release occurs after 4 h of moisture retention and maintains a high level for 12 h (Shutong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infection is favoured by warm humid conditions (optimum temperature 28°C) and infection of young fruits requires 5 h of surface wetness, while older fruits need longer (Shutong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pycnidial stromata develop throughout the year as temperature permits, usually beginning within days to weeks after diseased tissues die and stromata development depends upon sufficient moisture in the killed tissues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artificial wounding is needed for branches to be infected, although shoot tips and young leaves can be infected without wounding. Natural infection of shoots probably occurs through the shoot tip. Similarly, young fruits can be infected early in the season (up to mid-July) through stomata or lenticels (Kishi &amp; Abiko, 1971). Thereafter, wounds are needed for infection of fruits (e.g. punctures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incubation period for infection of shoots is 90–120 days, so that shoots infected during April–August show symptoms in September–November and provide inoculum in the following year. Leaves are infected in July–August, with an incubation period of about 30 days. The occurrence of the disease on fruits can be predicted from the number of rainy days in May by a quadratic regression equation (Kato, 1973).</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pseudothecia of the sexual stage may develop in the same stromata that previously produced conidia or in new stromata, usually on tissue which has been dead for several months to a year or more (Sinclair &amp; Lyon, 2005). When pseudothecia are developed, ascospores are dispersed by air and water during much of the growing season and, like conidia, are most abundant during late spring to early summer, but ascospores are not reported to play a significant role in disease spread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however, it is hard to discriminate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as they produce similar conidia and affected the same hosts inducing similar symptoms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can exist as endophyte in healthy plant tissues for extended period of time (Slippers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This description of the biology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taken mostly from the old Japanese literature; it is, however, very broadly similar to that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for example in South-Eastern USA (McGlohon, 1982; Koganezawa &amp; Sakuma, 1984; Brown &amp; Britton, 1986; Jones &amp; Aldwinkle,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may vary in size and extent on apple and pear trees (Sinclair &amp; Lyon, 2005,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disease characterized by ring rot on fruit and restricted warts on branches is known as ring rot because of the alternating light and dark concentric rings in the fruit rot lesions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On Japanese pears and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the fungus forms wart-like protuberances (wart bark) on the surface of trunks and branches, rather than typical Botryosphaeria cankers (Jones, 2014). The warts on trunks and branches damage the tree, reducing its growth and productivity. Lesions on branches, twigs and trunk vary from tiny and superficial spots on bark to sunken cankers delimited by vigorous callus ridges or spreading lesions without marginal callus (Sinclair &amp; Lyon, 2005; Jones, 2014,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Usually, infected twigs die, but trunks and branches may have no symptoms or contain the pathogen within discrete cankers (Sinclair &amp; Lyon, 2005; Jones, 2014). The leaf spots are of minor importance and do not affect yield. The fruit spots progress after harvest, alternating light and dark brown rings develops in the decayed tissue, and thus cause a loss of fruit quality (Koganezawa &amp; Sakuma, 1980, 1984).</w:t>
      </w:r>
    </w:p>
    <w:p>
      <w:pPr>
        <w:widowControl w:val="on"/>
        <w:pBdr/>
        <w:spacing w:before="220" w:after="220" w:line="240" w:lineRule="auto"/>
        <w:ind w:left="0" w:right="0"/>
        <w:jc w:val="both"/>
      </w:pPr>
      <w:r>
        <w:rPr>
          <w:rFonts w:ascii="Calibri" w:hAnsi="Calibri" w:eastAsia="Calibri" w:cs="Calibri"/>
          <w:color w:val="000000"/>
          <w:sz w:val="22"/>
          <w:szCs w:val="22"/>
        </w:rPr>
        <w:t xml:space="preserve">To distinguish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pathogenicity tests could be used showing that on pear stems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caused large-scale cankers along with blisters whereas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was non-pathogenic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are two distinct symptoms on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that can be also used to distinguish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The first one is causing ring rot on fruit and restricted wart-like prominences or canker-like protrusions the year after infection, while the other causes expanding cankers on branches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of morphological features of the fungus are identical to those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provide the following description of the cultural and morphological characteristics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colonies on potato dextrose agar (PDA) media attaining 52 mm diameter after 4 days at 25°C in the dark, initially white with moderately dense, appressed mycelial mat and aerial mycelium without columns, gradually becoming grey to dark grey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reverse side of the colonies at first is white, but after 2–3 days it becomes dark green to olive-green from the centre. This colouration gradually spreads to the edge and becomes darker from the centre until the entire underside of the colony is black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Conidiomata in culture are superficial, dark brown to black, globose, mostly solitary and covered by mycelium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Conidiogenous cells holoblastic, hyaline, sub-cylindrical, 7–18 × 2–4 μm, conidia produced in culture similar to those formed in nature, narrowly fusiform, or irregularly fusiform, base subtruncate to bluntly rounded, smooth with granular contents, widest in the middle to upper third, (18.5–)20…24.5(–26) × 5…7(–8) μm (mean ± SD = 22.3 ± 2.1 × 6.2 ± 0.9 μm, n = 60, L/W ratio = 3.6), forming 1–3 septa before germination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pycnidial stromata in nature vary in size, they are 1–4 mm in the longest dimension and contain one to several pycnidial cavities 150–250 µm in diameter with colourless contents that appear white when sliced (Sinclair &amp; Lyon, 2005). Microconidiomata globose, dark brown to black. Microconidiophores hyaline, cylindrical to sub-cylindrical, 3–10 × 1–2 μm, microconidia unicellular, hyaline, allantoid to rod-shaped, 3–8 × 1–2 μm. Sexual state not observed in culture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which has for many years been confused with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can be identified based on multiple methods. Biological characteristics including the aerial mycelia growth, mycelial growth rate and pathogenicity also supported the segregation of these two species. Morphologically, however, it is difficult to discriminate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as they produce similar conidia. As a physiologically specialized taxon,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only been distinguished by the different symptoms, warts rather than cankers, that it causes on twigs and stems of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Examining a number of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isolates from fruit trees in Japan,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found a group that caused the wart symptom on twigs, size of the conidia within a certain size range, and could be distinguished by the nucleotide sequences of rDNA ITS 1, ITS 2 and 5.8S rDNA. Molecular data are available in GenBank for the epitype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HMAS 245112 (PG 2) and GenBank contains sequences of different region: ITS: KJ433388 (ITS1/ITS4); EF1-α: KJ433410 (EF446f/EF1035r); HSP: KJ433456 (HspF3/HspR); HIS: KJ433432 (HisF3/HisR)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plants for planting and dormant plants of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trees from the countries where the disease occurs should not have any symptoms of cankers and bark blisters or wart-like bark swellings cankers on apple and Japanese pear during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Any material with canker lesions should be carefully inspected. Particular attention should be paid to the fruit (apples and pears) because they can have black conidiomata scattered on the lesions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Infection occurs on young fruit, and would be detectable on harvested fruit, rather than only appearing later in storage (post-harvest rot). Accordingly, infected fruit are relatively unlikely to be traded. However, it is possible that pathogen can survive in symptomless branches and trunks which may contain mycelium or stromata, thus inspection may be ineffective.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spread by both natural and human-assisted means. Under natural conditions,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locally dispersed by rain over relatively short distances. Nevertheless, uncertainty exists on the distance over which the ascospores of the pathogen could be wind disseminated because of lack of information (EFSA, 2017). The fungus can potentially spread over long distances through the movement of infected (symptomatic and asymptomatic) timber, bark, plants for planting (rootstocks, grafted plants, scions, etc.), and fresh fruit (EFSA, 2017), although it seems improbable that infected fruit could be traded. As mentioned above,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can exist as endophyte in healthy plant tissues for extended periods of time, thus it can potentially spread freely with healthy plant material, including fruit (Slippers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the pathogen responsible for apple ring rot and pear canker and it can cause rot on fruit, especially during storage, and extensive cankers and/or warts on branches and trunks, resulting in serious economic losses to fruit farmers in China, Japan, and Koreas on apple and Japanese and European pears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Koganezawa &amp; Sakuma (1984), it has become more common, causing apple fruit rot in the 1980s, when Bordeaux mixture began to be used less frequently in orchards and the practice of bagging fruits declined (in Japan, high quality pome fruits are often individually bagged on the tree to protect them from all kinds of damage). A survey in 2008 in the seven main apple production provinces in China has showed that the average incidence of apple ring rot was 77.6%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Copper fungicides have proved effective in Japan, and the reduction in their use has led to a resurgence of apple fruit rot (Kexiang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Bhusal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Organic arsenic emulsion was previously recommended in Japan for treatment of the warts on the shoots, though it is doubtful whether such products would now be authorized for this use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this pest has also been tested. Laboratory and field trials were carried out in Hebei province (China) to evaluate the potential of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atroviride</w:t>
      </w:r>
      <w:r>
        <w:rPr>
          <w:rFonts w:ascii="Calibri" w:hAnsi="Calibri" w:eastAsia="Calibri" w:cs="Calibri"/>
          <w:color w:val="000000"/>
          <w:sz w:val="22"/>
          <w:szCs w:val="22"/>
        </w:rPr>
        <w:t xml:space="preserve"> (Ascomycota: Hypocreaceae) to control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In the laboratory, both </w:t>
      </w:r>
      <w:r>
        <w:rPr>
          <w:rFonts w:ascii="Calibri" w:hAnsi="Calibri" w:eastAsia="Calibri" w:cs="Calibri"/>
          <w:i/>
          <w:iCs/>
          <w:color w:val="000000"/>
          <w:sz w:val="22"/>
          <w:szCs w:val="22"/>
        </w:rPr>
        <w:t xml:space="preserve">Trichoderma</w:t>
      </w:r>
      <w:r>
        <w:rPr>
          <w:rFonts w:ascii="Calibri" w:hAnsi="Calibri" w:eastAsia="Calibri" w:cs="Calibri"/>
          <w:color w:val="000000"/>
          <w:sz w:val="22"/>
          <w:szCs w:val="22"/>
        </w:rPr>
        <w:t xml:space="preserve"> species inhibited the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apparently by direct antagonism with minor inhibition by antibiosis. In the field, where apple trees were severely affected by the disease, the application of spore suspensions of both fungi gave satisfactory results and the efficacy was similar to that of routine chemical control (Kexiang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it is recommended to take the following agricultural practices and sanitary and chemical measures to reduce the inoculum source: pruning of symptomatic and dead plant parts and shaving of warts on shoots; sprays with copper-based fungicides; sanitation measures to reduce inoculum sources in the orchards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Kim &amp; Kim, 1989;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never been reported in the EPPO region. In Japan, China, and Koreas the fungus is reported to be important. Though mainly occurring on Japanese pears, the fungus has been recorded in Japan damaging European pears and apples. The risk of entry (for the EU) was assessed by EFSA as the pest could potentially enter, establish and spread in the EU. It is not clear, however, whether the fungus can be distinguished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during inspection, and how feasible it is to take measures if the pest identification is difficult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were suggested to prevent the entry of the pathogen into the EPPO region (e.g. sourcing host plants for planting and fruit should originate from pest-free areas or pest-free places of production). In the case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inspections at the place of origin and the entry point might be not fully effective to prevent the entry of the pathogen because of it is difficult to ensure that imported plants for planting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the pathogen is known are free from a latent infection As a general approach, it has also been recommended that when importing plants for planting (except seeds) from the countries where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occurs, precautions should have been taken to avoid any infestations while the plants or fruits are transported through possibly infested areas (Kim &amp; Kim, 1989;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Bhusal N, Kwon JH, Han SG &amp; Yoon TM (2016) Applications of organic fungicides reduce photosynthesis and fruit quality of apple trees. </w:t>
      </w:r>
      <w:r>
        <w:rPr>
          <w:rFonts w:ascii="Calibri" w:hAnsi="Calibri" w:eastAsia="Calibri" w:cs="Calibri"/>
          <w:i/>
          <w:iCs/>
          <w:color w:val="000000"/>
          <w:sz w:val="22"/>
          <w:szCs w:val="22"/>
        </w:rPr>
        <w:t xml:space="preserve">Horticultural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708-718. </w:t>
      </w:r>
      <w:hyperlink r:id="rId7593679c399038740" w:history="1">
        <w:r>
          <w:rPr>
            <w:rFonts w:ascii="Calibri" w:hAnsi="Calibri" w:eastAsia="Calibri" w:cs="Calibri"/>
            <w:color w:val="0000CC"/>
            <w:sz w:val="22"/>
            <w:szCs w:val="22"/>
            <w:u w:val="single"/>
          </w:rPr>
          <w:t xml:space="preserve">https://doi.org/10.12972/kjhst.20160074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EA &amp; Britton KO (1986) Botryosphaeria diseases of apple and peach in the southeastern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484–484.</w:t>
      </w:r>
    </w:p>
    <w:p>
      <w:pPr>
        <w:widowControl w:val="on"/>
        <w:pBdr/>
        <w:spacing w:before="220" w:after="220" w:line="240" w:lineRule="auto"/>
        <w:ind w:left="0" w:right="0"/>
        <w:jc w:val="left"/>
      </w:pPr>
      <w:r>
        <w:rPr>
          <w:rFonts w:ascii="Calibri" w:hAnsi="Calibri" w:eastAsia="Calibri" w:cs="Calibri"/>
          <w:color w:val="000000"/>
          <w:sz w:val="22"/>
          <w:szCs w:val="22"/>
        </w:rPr>
        <w:t xml:space="preserve">Cho WD, Kim CH &amp; Kim SC (1986) Pathogen specialization, epidemiology and varietal resistance in white rot of apple. </w:t>
      </w:r>
      <w:r>
        <w:rPr>
          <w:rFonts w:ascii="Calibri" w:hAnsi="Calibri" w:eastAsia="Calibri" w:cs="Calibri"/>
          <w:i/>
          <w:iCs/>
          <w:color w:val="000000"/>
          <w:sz w:val="22"/>
          <w:szCs w:val="22"/>
        </w:rPr>
        <w:t xml:space="preserve">Korean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Dong GZ &amp; Zhou JM (1985) [Observations on the infection period of ring rot on both branches and trunks of apple tree and on the period of conidial dispersal]. </w:t>
      </w:r>
      <w:r>
        <w:rPr>
          <w:rFonts w:ascii="Calibri" w:hAnsi="Calibri" w:eastAsia="Calibri" w:cs="Calibri"/>
          <w:i/>
          <w:iCs/>
          <w:color w:val="000000"/>
          <w:sz w:val="22"/>
          <w:szCs w:val="22"/>
        </w:rPr>
        <w:t xml:space="preserve">Shanxi Fruit Trees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37–39.</w:t>
      </w:r>
    </w:p>
    <w:p>
      <w:pPr>
        <w:widowControl w:val="on"/>
        <w:pBdr/>
        <w:spacing w:before="220" w:after="220" w:line="240" w:lineRule="auto"/>
        <w:ind w:left="0" w:right="0"/>
        <w:jc w:val="left"/>
      </w:pPr>
      <w:r>
        <w:rPr>
          <w:rFonts w:ascii="Calibri" w:hAnsi="Calibri" w:eastAsia="Calibri" w:cs="Calibri"/>
          <w:color w:val="000000"/>
          <w:sz w:val="22"/>
          <w:szCs w:val="22"/>
        </w:rPr>
        <w:t xml:space="preserve">Dong XL, Cheng ZZ, Leng WF, Li BH, Xu XM, Lian S &amp; Wang CX (2021) Progression of symptoms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on apple branches.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(9), 1551-1559. </w:t>
      </w:r>
      <w:hyperlink r:id="rId8543679c3990388ee" w:history="1">
        <w:r>
          <w:rPr>
            <w:rFonts w:ascii="Calibri" w:hAnsi="Calibri" w:eastAsia="Calibri" w:cs="Calibri"/>
            <w:color w:val="0000CC"/>
            <w:sz w:val="22"/>
            <w:szCs w:val="22"/>
            <w:u w:val="single"/>
          </w:rPr>
          <w:t xml:space="preserve">https://doi.org/10.1094/PHYTO-12-20-0551-R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 &amp; Rossi V (2017) Pest categorisation of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15(11)</w:t>
      </w:r>
      <w:r>
        <w:rPr>
          <w:rFonts w:ascii="Calibri" w:hAnsi="Calibri" w:eastAsia="Calibri" w:cs="Calibri"/>
          <w:color w:val="000000"/>
          <w:sz w:val="22"/>
          <w:szCs w:val="22"/>
        </w:rPr>
        <w:t xml:space="preserve">, e05035. </w:t>
      </w:r>
      <w:hyperlink r:id="rId9211679c39903897e" w:history="1">
        <w:r>
          <w:rPr>
            <w:rFonts w:ascii="Calibri" w:hAnsi="Calibri" w:eastAsia="Calibri" w:cs="Calibri"/>
            <w:color w:val="0000CC"/>
            <w:sz w:val="22"/>
            <w:szCs w:val="22"/>
            <w:u w:val="single"/>
          </w:rPr>
          <w:t xml:space="preserve">https://doi.org/10.2903/j.efsa.2017.5035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w:t>
      </w:r>
      <w:r>
        <w:rPr>
          <w:rFonts w:ascii="Calibri" w:hAnsi="Calibri" w:eastAsia="Calibri" w:cs="Calibri"/>
          <w:i/>
          <w:iCs/>
          <w:color w:val="000000"/>
          <w:sz w:val="22"/>
          <w:szCs w:val="22"/>
        </w:rPr>
        <w:t xml:space="preserve">Fungi on Plants and Plant Products in the United States</w:t>
      </w:r>
      <w:r>
        <w:rPr>
          <w:rFonts w:ascii="Calibri" w:hAnsi="Calibri" w:eastAsia="Calibri" w:cs="Calibri"/>
          <w:color w:val="000000"/>
          <w:sz w:val="22"/>
          <w:szCs w:val="22"/>
        </w:rPr>
        <w:t xml:space="preserve">, pp. 592–593.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Jayasiri SC, Hyde KD, Ariyawansa HA, Bhat J, Buyck B, Cai L, Dai YC, Abd-Elsalam KA, Ertz D, Hidayat I, Jeewon R, Jones EBG, Bahkali AH, Karunarathna SC, Liu JK, Luangsa-ard JJ, Lumbsch HT, Maharachchikumbura SSN, McKenzie EHC, Moncalvo, JM, Ghobad-Nejhad M, Nilsson H, Pang KA, Pereira OL, Phillips AJL, Raspé O, Rollins AW, Romero AI, Etayo J, Selçuk F, Stephenson SL, Suetrong S, Taylor JE, Tsui CKM, Vizzini A, Abdel-Wahab MA, Wen TC, Boonmee S, Dai DQ, Daranagama DA, Dissanayake AJ, Ekanayaka AH, Fryar SC, Hongsanan S, Jayawardena RS, Li WJ, Perera RH, Phookamsak R, de Silva NI, Thambugala KM, Tian Q, Wijayawardene NN, Zhao RL, Zhao Q, Kang JC &amp; Promputtha I (2015) The Faces of Fungi database: fungal names linked with morphology, phylogeny and human impacts.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 3–18. </w:t>
      </w:r>
      <w:hyperlink r:id="rId5923679c399038a33" w:history="1">
        <w:r>
          <w:rPr>
            <w:rFonts w:ascii="Calibri" w:hAnsi="Calibri" w:eastAsia="Calibri" w:cs="Calibri"/>
            <w:color w:val="0000CC"/>
            <w:sz w:val="22"/>
            <w:szCs w:val="22"/>
            <w:u w:val="single"/>
          </w:rPr>
          <w:t xml:space="preserve">https://doi.org/10.1007/s13225-015-0351-8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AL (2014) </w:t>
      </w:r>
      <w:r>
        <w:rPr>
          <w:rFonts w:ascii="Calibri" w:hAnsi="Calibri" w:eastAsia="Calibri" w:cs="Calibri"/>
          <w:i/>
          <w:iCs/>
          <w:color w:val="000000"/>
          <w:sz w:val="22"/>
          <w:szCs w:val="22"/>
        </w:rPr>
        <w:t xml:space="preserve">Compendium of Apple and Pear Diseases </w:t>
      </w:r>
      <w:r>
        <w:rPr>
          <w:rFonts w:ascii="Calibri" w:hAnsi="Calibri" w:eastAsia="Calibri" w:cs="Calibri"/>
          <w:color w:val="000000"/>
          <w:sz w:val="22"/>
          <w:szCs w:val="22"/>
        </w:rPr>
        <w:t xml:space="preserve">(2nd ed.).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(1973) Studies on physalospora canker of Japanese pear with special reference to ecology and control. </w:t>
      </w:r>
      <w:r>
        <w:rPr>
          <w:rFonts w:ascii="Calibri" w:hAnsi="Calibri" w:eastAsia="Calibri" w:cs="Calibri"/>
          <w:i/>
          <w:iCs/>
          <w:color w:val="000000"/>
          <w:sz w:val="22"/>
          <w:szCs w:val="22"/>
        </w:rPr>
        <w:t xml:space="preserve">Special Research Bulletin of the Aichi-Ken Agricultural Research Center Nagakute, Aichi, Japan, Series B</w:t>
      </w:r>
      <w:r>
        <w:rPr>
          <w:rFonts w:ascii="Calibri" w:hAnsi="Calibri" w:eastAsia="Calibri" w:cs="Calibri"/>
          <w:color w:val="000000"/>
          <w:sz w:val="22"/>
          <w:szCs w:val="22"/>
        </w:rPr>
        <w:t xml:space="preserve">, pp. 1–70.</w:t>
      </w:r>
    </w:p>
    <w:p>
      <w:pPr>
        <w:widowControl w:val="on"/>
        <w:pBdr/>
        <w:spacing w:before="220" w:after="220" w:line="240" w:lineRule="auto"/>
        <w:ind w:left="0" w:right="0"/>
        <w:jc w:val="left"/>
      </w:pPr>
      <w:r>
        <w:rPr>
          <w:rFonts w:ascii="Calibri" w:hAnsi="Calibri" w:eastAsia="Calibri" w:cs="Calibri"/>
          <w:color w:val="000000"/>
          <w:sz w:val="22"/>
          <w:szCs w:val="22"/>
        </w:rPr>
        <w:t xml:space="preserve">Kexiang G, Xiaoguang L, Yonghong L, Tianbo Z &amp; Shuliang W (2002) Potential of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atroviride</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piricola</w:t>
      </w:r>
      <w:r>
        <w:rPr>
          <w:rFonts w:ascii="Calibri" w:hAnsi="Calibri" w:eastAsia="Calibri" w:cs="Calibri"/>
          <w:color w:val="000000"/>
          <w:sz w:val="22"/>
          <w:szCs w:val="22"/>
        </w:rPr>
        <w:t xml:space="preserve">, the cause of apple ring rot.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271–276. </w:t>
      </w:r>
      <w:hyperlink r:id="rId4354679c399038bc5" w:history="1">
        <w:r>
          <w:rPr>
            <w:rFonts w:ascii="Calibri" w:hAnsi="Calibri" w:eastAsia="Calibri" w:cs="Calibri"/>
            <w:color w:val="0000CC"/>
            <w:sz w:val="22"/>
            <w:szCs w:val="22"/>
            <w:u w:val="single"/>
          </w:rPr>
          <w:t xml:space="preserve">https://doi.org/10.1046/j.1439-0434.2002.00754.x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SB &amp; Kim CS (1989) [Pathogenicity and ecology of apple rot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II. The ecology and control methods of apple rot]. </w:t>
      </w:r>
      <w:r>
        <w:rPr>
          <w:rFonts w:ascii="Calibri" w:hAnsi="Calibri" w:eastAsia="Calibri" w:cs="Calibri"/>
          <w:i/>
          <w:iCs/>
          <w:color w:val="000000"/>
          <w:sz w:val="22"/>
          <w:szCs w:val="22"/>
        </w:rPr>
        <w:t xml:space="preserve">Journal of the Korean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Sakuma T (1980) Fungi associated with blister canker and internal bark necrosis of apple trees. </w:t>
      </w:r>
      <w:r>
        <w:rPr>
          <w:rFonts w:ascii="Calibri" w:hAnsi="Calibri" w:eastAsia="Calibri" w:cs="Calibri"/>
          <w:i/>
          <w:iCs/>
          <w:color w:val="000000"/>
          <w:sz w:val="22"/>
          <w:szCs w:val="22"/>
        </w:rPr>
        <w:t xml:space="preserve">Bulletin of the Fruit Tree Research Station Japan, Series C</w:t>
      </w:r>
      <w:r>
        <w:rPr>
          <w:rFonts w:ascii="Calibri" w:hAnsi="Calibri" w:eastAsia="Calibri" w:cs="Calibri"/>
          <w:color w:val="000000"/>
          <w:sz w:val="22"/>
          <w:szCs w:val="22"/>
        </w:rPr>
        <w:t xml:space="preserve"> 7, 83–99.</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Sakuma T (1984) Causal fungi of apple fruit rot. </w:t>
      </w:r>
      <w:r>
        <w:rPr>
          <w:rFonts w:ascii="Calibri" w:hAnsi="Calibri" w:eastAsia="Calibri" w:cs="Calibri"/>
          <w:i/>
          <w:iCs/>
          <w:color w:val="000000"/>
          <w:sz w:val="22"/>
          <w:szCs w:val="22"/>
        </w:rPr>
        <w:t xml:space="preserve">Bulletin of the Fruit Tree Research Station Japan, Series C</w:t>
      </w:r>
      <w:r>
        <w:rPr>
          <w:rFonts w:ascii="Calibri" w:hAnsi="Calibri" w:eastAsia="Calibri" w:cs="Calibri"/>
          <w:color w:val="000000"/>
          <w:sz w:val="22"/>
          <w:szCs w:val="22"/>
        </w:rPr>
        <w:t xml:space="preserve"> 11, 49–62.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&amp; Yang JS (1984) [Studies on the white rot and blister canker in apple trees caused by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82–88.</w:t>
      </w:r>
    </w:p>
    <w:p>
      <w:pPr>
        <w:widowControl w:val="on"/>
        <w:pBdr/>
        <w:spacing w:before="220" w:after="220" w:line="240" w:lineRule="auto"/>
        <w:ind w:left="0" w:right="0"/>
        <w:jc w:val="left"/>
      </w:pPr>
      <w:r>
        <w:rPr>
          <w:rFonts w:ascii="Calibri" w:hAnsi="Calibri" w:eastAsia="Calibri" w:cs="Calibri"/>
          <w:color w:val="000000"/>
          <w:sz w:val="22"/>
          <w:szCs w:val="22"/>
        </w:rPr>
        <w:t xml:space="preserve">Li WJ, McKenZie EHC, Liu JK, Bhat DJ, Dai DQ, Caporesi E, Tian Q, Maharachcikumbura SSN, Luo ZL, Shang QJ, Zhang JF, Tangthirasunun N, Karunarathna SC, Xu JC &amp; Hyde KD (2020) Taxonomy and phylogeny of hyaline-spored coelomycetes.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279–801.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HT, Li CL, Zhang YJ, Li CM, Zhao YB, Chen DM, Zhang XZ &amp; Han ZH (2011) Inheritance and molecular marker of resistance to bot canker in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175-184. </w:t>
      </w:r>
      <w:hyperlink r:id="rId1228679c399038e44" w:history="1">
        <w:r>
          <w:rPr>
            <w:rFonts w:ascii="Calibri" w:hAnsi="Calibri" w:eastAsia="Calibri" w:cs="Calibri"/>
            <w:color w:val="0000CC"/>
            <w:sz w:val="22"/>
            <w:szCs w:val="22"/>
            <w:u w:val="single"/>
          </w:rPr>
          <w:t xml:space="preserve">https://doi.org/10.1016/S1671-2927(09)60304-7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RR &amp; Berton O (1986) [Incidence of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on apple in the State of Santa Catarina,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Ogata T, Sano T &amp; Harada Y (2000) </w:t>
      </w:r>
      <w:r>
        <w:rPr>
          <w:rFonts w:ascii="Calibri" w:hAnsi="Calibri" w:eastAsia="Calibri" w:cs="Calibri"/>
          <w:i/>
          <w:iCs/>
          <w:color w:val="000000"/>
          <w:sz w:val="22"/>
          <w:szCs w:val="22"/>
        </w:rPr>
        <w:t xml:space="preserve">Botryosphaeria </w:t>
      </w:r>
      <w:r>
        <w:rPr>
          <w:rFonts w:ascii="Calibri" w:hAnsi="Calibri" w:eastAsia="Calibri" w:cs="Calibri"/>
          <w:color w:val="000000"/>
          <w:sz w:val="22"/>
          <w:szCs w:val="22"/>
        </w:rPr>
        <w:t xml:space="preserve">species isolated from apple and several deciduous fruit trees are divided into three groups based on the production of warts on twigs, size of conidia, and nucleotide sequences of nuclear ribosomal DNA ITS regions.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331–337. </w:t>
      </w:r>
      <w:hyperlink r:id="rId8538679c399038f5d" w:history="1">
        <w:r>
          <w:rPr>
            <w:rFonts w:ascii="Calibri" w:hAnsi="Calibri" w:eastAsia="Calibri" w:cs="Calibri"/>
            <w:color w:val="0000CC"/>
            <w:sz w:val="22"/>
            <w:szCs w:val="22"/>
            <w:u w:val="single"/>
          </w:rPr>
          <w:t xml:space="preserve">https://doi.org/10.1007/BF02463946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w:t>
      </w:r>
      <w:r>
        <w:rPr>
          <w:rFonts w:ascii="Calibri" w:hAnsi="Calibri" w:eastAsia="Calibri" w:cs="Calibri"/>
          <w:color w:val="000000"/>
          <w:sz w:val="22"/>
          <w:szCs w:val="22"/>
        </w:rPr>
        <w:t xml:space="preserve">HH (2005) Diseases of Trees and Shrubs (2nd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Shutong W, Wang Y, Hu T &amp; Cao K (2012) Crucial weather conditions for conidia release of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De Not. f. sp. </w:t>
      </w:r>
      <w:r>
        <w:rPr>
          <w:rFonts w:ascii="Calibri" w:hAnsi="Calibri" w:eastAsia="Calibri" w:cs="Calibri"/>
          <w:i/>
          <w:iCs/>
          <w:color w:val="000000"/>
          <w:sz w:val="22"/>
          <w:szCs w:val="22"/>
        </w:rPr>
        <w:t xml:space="preserve">piricola</w:t>
      </w:r>
      <w:r>
        <w:rPr>
          <w:rFonts w:ascii="Calibri" w:hAnsi="Calibri" w:eastAsia="Calibri" w:cs="Calibri"/>
          <w:color w:val="000000"/>
          <w:sz w:val="22"/>
          <w:szCs w:val="22"/>
        </w:rPr>
        <w:t xml:space="preserve"> on apple 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701–706.</w:t>
      </w:r>
    </w:p>
    <w:p>
      <w:pPr>
        <w:widowControl w:val="on"/>
        <w:pBdr/>
        <w:spacing w:before="220" w:after="220" w:line="240" w:lineRule="auto"/>
        <w:ind w:left="0" w:right="0"/>
        <w:jc w:val="left"/>
      </w:pPr>
      <w:r>
        <w:rPr>
          <w:rFonts w:ascii="Calibri" w:hAnsi="Calibri" w:eastAsia="Calibri" w:cs="Calibri"/>
          <w:color w:val="000000"/>
          <w:sz w:val="22"/>
          <w:szCs w:val="22"/>
        </w:rPr>
        <w:t xml:space="preserve">Slippers B, Crous PW, Jami F, Groenewald JZ &amp; Wingfield MJ (2017) Diversity in the Botryosphaeriales: Looking back, looking forward.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307–321. </w:t>
      </w:r>
      <w:hyperlink r:id="rId3552679c39903909b" w:history="1">
        <w:r>
          <w:rPr>
            <w:rFonts w:ascii="Calibri" w:hAnsi="Calibri" w:eastAsia="Calibri" w:cs="Calibri"/>
            <w:color w:val="0000CC"/>
            <w:sz w:val="22"/>
            <w:szCs w:val="22"/>
            <w:u w:val="single"/>
          </w:rPr>
          <w:t xml:space="preserve">https://doi.org/10.1016/j.funbio.2017.02.002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B, Liang X, Gleason ML, Zhang R &amp; Sun G (2018) Comparative genomics of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causal agents of apple ring rot, reveals both species expansion of pathogenicity-related genes and variations in virulence gene content during speciation.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243–257. </w:t>
      </w:r>
      <w:hyperlink r:id="rId4170679c39903914b" w:history="1">
        <w:r>
          <w:rPr>
            <w:rFonts w:ascii="Calibri" w:hAnsi="Calibri" w:eastAsia="Calibri" w:cs="Calibri"/>
            <w:color w:val="0000CC"/>
            <w:sz w:val="22"/>
            <w:szCs w:val="22"/>
            <w:u w:val="single"/>
          </w:rPr>
          <w:t xml:space="preserve">https://doi.org/10.5598/imafungus.2018.09.02.02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B, Liang X, Hao X, Dang H, Hsiang T, Gleason ML, Zhang R &amp; Sun G (2021) Comparison of mitochondrial genomes provides insights into intron dynamics and evolution in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kuwatsukai.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(9), 5320–5333. </w:t>
      </w:r>
      <w:hyperlink r:id="rId1651679c3990391db" w:history="1">
        <w:r>
          <w:rPr>
            <w:rFonts w:ascii="Calibri" w:hAnsi="Calibri" w:eastAsia="Calibri" w:cs="Calibri"/>
            <w:color w:val="0000CC"/>
            <w:sz w:val="22"/>
            <w:szCs w:val="22"/>
            <w:u w:val="single"/>
          </w:rPr>
          <w:t xml:space="preserve">https://doi.org/10.1111/1462-2920.15608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C, Wang C, Ju L, Zhang R, Biggs AR, Tanaka E, Li B &amp; Sun G (2015) Multiple locus genealogies and phenotypic characters reappraise the causal agents of apple ring rot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W (1961) [Species of the genera of </w:t>
      </w:r>
      <w:r>
        <w:rPr>
          <w:rFonts w:ascii="Calibri" w:hAnsi="Calibri" w:eastAsia="Calibri" w:cs="Calibri"/>
          <w:i/>
          <w:iCs/>
          <w:color w:val="000000"/>
          <w:sz w:val="22"/>
          <w:szCs w:val="22"/>
        </w:rPr>
        <w:t xml:space="preserve">Glomerella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with special reference to their imperfect stages]. </w:t>
      </w:r>
      <w:r>
        <w:rPr>
          <w:rFonts w:ascii="Calibri" w:hAnsi="Calibri" w:eastAsia="Calibri" w:cs="Calibri"/>
          <w:i/>
          <w:iCs/>
          <w:color w:val="000000"/>
          <w:sz w:val="22"/>
          <w:szCs w:val="22"/>
        </w:rPr>
        <w:t xml:space="preserve">Scientific Reports of the Hyogo University of Agriculture, Agricultural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Zhao X, Zhang G, Li B, Xu X, Dong X, Wang C &amp; Li G (2016) Seasonal dynamics of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infections and symptom development on apple fruits and shoots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507–518. </w:t>
      </w:r>
      <w:hyperlink r:id="rId2093679c399039364" w:history="1">
        <w:r>
          <w:rPr>
            <w:rFonts w:ascii="Calibri" w:hAnsi="Calibri" w:eastAsia="Calibri" w:cs="Calibri"/>
            <w:color w:val="0000CC"/>
            <w:sz w:val="22"/>
            <w:szCs w:val="22"/>
            <w:u w:val="single"/>
          </w:rPr>
          <w:t xml:space="preserve">https://doi.org/10.1007/s10658-016-0935-5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 &amp; Rossi V (2017) Pest categorisation of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15(11)</w:t>
      </w:r>
      <w:r>
        <w:rPr>
          <w:rFonts w:ascii="Calibri" w:hAnsi="Calibri" w:eastAsia="Calibri" w:cs="Calibri"/>
          <w:color w:val="000000"/>
          <w:sz w:val="22"/>
          <w:szCs w:val="22"/>
        </w:rPr>
        <w:t xml:space="preserve">, e05035. </w:t>
      </w:r>
      <w:hyperlink r:id="rId5621679c399039417" w:history="1">
        <w:r>
          <w:rPr>
            <w:rFonts w:ascii="Calibri" w:hAnsi="Calibri" w:eastAsia="Calibri" w:cs="Calibri"/>
            <w:color w:val="0000CC"/>
            <w:sz w:val="22"/>
            <w:szCs w:val="22"/>
            <w:u w:val="single"/>
          </w:rPr>
          <w:t xml:space="preserve">https://doi.org/10.2903/j.efsa.2017.5035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EPPO datasheets on pests recommended for regulation. Available online. </w:t>
      </w:r>
      <w:hyperlink r:id="rId3376679c3990394c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Botryosphaeria berengeriana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piricola</w:t>
      </w:r>
      <w:r>
        <w:rPr>
          <w:rFonts w:ascii="Calibri" w:hAnsi="Calibri" w:eastAsia="Calibri" w:cs="Calibri"/>
          <w:color w:val="000000"/>
          <w:sz w:val="22"/>
          <w:szCs w:val="22"/>
        </w:rPr>
        <w:t xml:space="preserve"> in the first edition of 'Quarantine Pests for Europe' in 1992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83541035" name="name1756679c39903976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21679c39903975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615200">
    <w:multiLevelType w:val="hybridMultilevel"/>
    <w:lvl w:ilvl="0" w:tplc="40542722">
      <w:start w:val="1"/>
      <w:numFmt w:val="decimal"/>
      <w:lvlText w:val="%1."/>
      <w:lvlJc w:val="left"/>
      <w:pPr>
        <w:ind w:left="720" w:hanging="360"/>
      </w:pPr>
    </w:lvl>
    <w:lvl w:ilvl="1" w:tplc="40542722" w:tentative="1">
      <w:start w:val="1"/>
      <w:numFmt w:val="lowerLetter"/>
      <w:lvlText w:val="%2."/>
      <w:lvlJc w:val="left"/>
      <w:pPr>
        <w:ind w:left="1440" w:hanging="360"/>
      </w:pPr>
    </w:lvl>
    <w:lvl w:ilvl="2" w:tplc="40542722" w:tentative="1">
      <w:start w:val="1"/>
      <w:numFmt w:val="lowerRoman"/>
      <w:lvlText w:val="%3."/>
      <w:lvlJc w:val="right"/>
      <w:pPr>
        <w:ind w:left="2160" w:hanging="180"/>
      </w:pPr>
    </w:lvl>
    <w:lvl w:ilvl="3" w:tplc="40542722" w:tentative="1">
      <w:start w:val="1"/>
      <w:numFmt w:val="decimal"/>
      <w:lvlText w:val="%4."/>
      <w:lvlJc w:val="left"/>
      <w:pPr>
        <w:ind w:left="2880" w:hanging="360"/>
      </w:pPr>
    </w:lvl>
    <w:lvl w:ilvl="4" w:tplc="40542722" w:tentative="1">
      <w:start w:val="1"/>
      <w:numFmt w:val="lowerLetter"/>
      <w:lvlText w:val="%5."/>
      <w:lvlJc w:val="left"/>
      <w:pPr>
        <w:ind w:left="3600" w:hanging="360"/>
      </w:pPr>
    </w:lvl>
    <w:lvl w:ilvl="5" w:tplc="40542722" w:tentative="1">
      <w:start w:val="1"/>
      <w:numFmt w:val="lowerRoman"/>
      <w:lvlText w:val="%6."/>
      <w:lvlJc w:val="right"/>
      <w:pPr>
        <w:ind w:left="4320" w:hanging="180"/>
      </w:pPr>
    </w:lvl>
    <w:lvl w:ilvl="6" w:tplc="40542722" w:tentative="1">
      <w:start w:val="1"/>
      <w:numFmt w:val="decimal"/>
      <w:lvlText w:val="%7."/>
      <w:lvlJc w:val="left"/>
      <w:pPr>
        <w:ind w:left="5040" w:hanging="360"/>
      </w:pPr>
    </w:lvl>
    <w:lvl w:ilvl="7" w:tplc="40542722" w:tentative="1">
      <w:start w:val="1"/>
      <w:numFmt w:val="lowerLetter"/>
      <w:lvlText w:val="%8."/>
      <w:lvlJc w:val="left"/>
      <w:pPr>
        <w:ind w:left="5760" w:hanging="360"/>
      </w:pPr>
    </w:lvl>
    <w:lvl w:ilvl="8" w:tplc="40542722" w:tentative="1">
      <w:start w:val="1"/>
      <w:numFmt w:val="lowerRoman"/>
      <w:lvlText w:val="%9."/>
      <w:lvlJc w:val="right"/>
      <w:pPr>
        <w:ind w:left="6480" w:hanging="180"/>
      </w:pPr>
    </w:lvl>
  </w:abstractNum>
  <w:abstractNum w:abstractNumId="65615199">
    <w:multiLevelType w:val="hybridMultilevel"/>
    <w:lvl w:ilvl="0" w:tplc="84515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615199">
    <w:abstractNumId w:val="65615199"/>
  </w:num>
  <w:num w:numId="65615200">
    <w:abstractNumId w:val="656152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4520991" Type="http://schemas.microsoft.com/office/2011/relationships/commentsExtended" Target="commentsExtended.xml"/><Relationship Id="rId166448382" Type="http://schemas.microsoft.com/office/2011/relationships/people" Target="people.xml"/><Relationship Id="rId1627679c399035f98" Type="http://schemas.openxmlformats.org/officeDocument/2006/relationships/hyperlink" Target="https://gd.eppo.int/taxon/PHYOPI/" TargetMode="External"/><Relationship Id="rId3085679c399035fdb" Type="http://schemas.openxmlformats.org/officeDocument/2006/relationships/hyperlink" Target="https://gd.eppo.int/taxon/PHYOPI/categorization" TargetMode="External"/><Relationship Id="rId7593679c399038740" Type="http://schemas.openxmlformats.org/officeDocument/2006/relationships/hyperlink" Target="https://doi.org/10.12972/kjhst.20160074" TargetMode="External"/><Relationship Id="rId8543679c3990388ee" Type="http://schemas.openxmlformats.org/officeDocument/2006/relationships/hyperlink" Target="https://doi.org/10.1094/PHYTO-12-20-0551-R" TargetMode="External"/><Relationship Id="rId9211679c39903897e" Type="http://schemas.openxmlformats.org/officeDocument/2006/relationships/hyperlink" Target="https://doi.org/10.2903/j.efsa.2017.5035" TargetMode="External"/><Relationship Id="rId5923679c399038a33" Type="http://schemas.openxmlformats.org/officeDocument/2006/relationships/hyperlink" Target="https://doi.org/10.1007/s13225-015-0351-8" TargetMode="External"/><Relationship Id="rId4354679c399038bc5" Type="http://schemas.openxmlformats.org/officeDocument/2006/relationships/hyperlink" Target="https://doi.org/10.1046/j.1439-0434.2002.00754.x" TargetMode="External"/><Relationship Id="rId1228679c399038e44" Type="http://schemas.openxmlformats.org/officeDocument/2006/relationships/hyperlink" Target="https://doi.org/10.1016/S1671-2927(09)60304-7" TargetMode="External"/><Relationship Id="rId8538679c399038f5d" Type="http://schemas.openxmlformats.org/officeDocument/2006/relationships/hyperlink" Target="https://doi.org/10.1007/BF02463946" TargetMode="External"/><Relationship Id="rId3552679c39903909b" Type="http://schemas.openxmlformats.org/officeDocument/2006/relationships/hyperlink" Target="https://doi.org/10.1016/j.funbio.2017.02.002" TargetMode="External"/><Relationship Id="rId4170679c39903914b" Type="http://schemas.openxmlformats.org/officeDocument/2006/relationships/hyperlink" Target="https://doi.org/10.5598/imafungus.2018.09.02.02" TargetMode="External"/><Relationship Id="rId1651679c3990391db" Type="http://schemas.openxmlformats.org/officeDocument/2006/relationships/hyperlink" Target="https://doi.org/10.1111/1462-2920.15608" TargetMode="External"/><Relationship Id="rId2093679c399039364" Type="http://schemas.openxmlformats.org/officeDocument/2006/relationships/hyperlink" Target="https://doi.org/10.1007/s10658-016-0935-5" TargetMode="External"/><Relationship Id="rId5621679c399039417" Type="http://schemas.openxmlformats.org/officeDocument/2006/relationships/hyperlink" Target="https://doi.org/10.2903/j.efsa.2017.5035" TargetMode="External"/><Relationship Id="rId3376679c3990394cf" Type="http://schemas.openxmlformats.org/officeDocument/2006/relationships/hyperlink" Target="https://gd.eppo.int" TargetMode="External"/><Relationship Id="rId5736679c399037718" Type="http://schemas.openxmlformats.org/officeDocument/2006/relationships/image" Target="media/imgrId5736679c399037718.jpg"/><Relationship Id="rId8821679c39903975f" Type="http://schemas.openxmlformats.org/officeDocument/2006/relationships/image" Target="media/imgrId8821679c39903975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