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Peach yellows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yellows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Little peach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red suture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little peach, peach red suture, peach yellows</w:t>
            </w:r>
            <w:hyperlink r:id="rId4656679c2dee96bf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585679c2dee96c4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PHYP29</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has shown that peach yellows (also called little peach) phytoplasma is to be regarded as 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member of the X-disease phytoplasma group or 16SrIII group, subgroup 16SrIII-A. Phytoplasmas associated with peach rosette and peach red suture diseases are also regarded 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peach yellows phytoplasma.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are also infected. All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which have been experimentally graft-inoculated proved to be susceptible. Peach yellows phytoplasma is symptomless in some cultivars of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such as Abundance, Chalco and Chabot. The phytoplasma can also be artificially transmitted to herbaceous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color w:val="000000"/>
          <w:sz w:val="22"/>
          <w:szCs w:val="22"/>
        </w:rPr>
        <w:t xml:space="preserve">Peach yellows was first observed in Pennsylvania in 1791 (Kunkel, 1936a). The disease spread gradually northward, through the New England states and into Canada and southward into Delaware, Maryland, Virginia, West Virginia, and North Carolina. Peach yellows has not been found in the far western or southern states or outside USA and Canada. European diseases called peach yellows are either caused by other phytoplasmas or have unknown etiologies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Epidemic outbreaks in the United States during the 19th and early 20th centuries caused significant tree losses (Kirkpatrick, 1995). Recently, disease incidence has been low (Scott and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r>
        <w:drawing>
          <wp:inline distT="0" distB="0" distL="0" distR="0">
            <wp:extent cx="6120000" cy="3067200"/>
            <wp:docPr id="4478657" name="name5095679c2dee97da0" descr="PHYP29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29_distribution_map.jpg"/>
                    <pic:cNvPicPr/>
                  </pic:nvPicPr>
                  <pic:blipFill>
                    <a:blip r:embed="rId8268679c2dee97d9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(Illinois, Indiana, Kentucky, Maryland, Michigan, New York, North Carolina, Ohio, Pennsylvania, South Carolina,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is transmitted by grafting and by the plum leafhopper </w:t>
      </w:r>
      <w:r>
        <w:rPr>
          <w:rFonts w:ascii="Calibri" w:hAnsi="Calibri" w:eastAsia="Calibri" w:cs="Calibri"/>
          <w:i/>
          <w:iCs/>
          <w:color w:val="000000"/>
          <w:sz w:val="22"/>
          <w:szCs w:val="22"/>
        </w:rPr>
        <w:t xml:space="preserve">Macropsis trimaculata</w:t>
      </w:r>
      <w:r>
        <w:rPr>
          <w:rFonts w:ascii="Calibri" w:hAnsi="Calibri" w:eastAsia="Calibri" w:cs="Calibri"/>
          <w:color w:val="000000"/>
          <w:sz w:val="22"/>
          <w:szCs w:val="22"/>
        </w:rPr>
        <w:t xml:space="preserve"> (Hemiptera: Cicadellidae). It has an incubation period of 1-3 years in trees in orchards but less than 60 days under glasshouse conditions. In the vector, the mean latent period is 16 days (Pine &amp; Gilmer, 1976; Weintraub &amp; Beanland, 2006). Symptoms of peach red suture disease are similar to those of peach yellows. However, attempts to transmit peach red suture disease with the leafhopper </w:t>
      </w:r>
      <w:r>
        <w:rPr>
          <w:rFonts w:ascii="Calibri" w:hAnsi="Calibri" w:eastAsia="Calibri" w:cs="Calibri"/>
          <w:i/>
          <w:iCs/>
          <w:color w:val="000000"/>
          <w:sz w:val="22"/>
          <w:szCs w:val="22"/>
        </w:rPr>
        <w:t xml:space="preserve">M. trimaculata</w:t>
      </w:r>
      <w:r>
        <w:rPr>
          <w:rFonts w:ascii="Calibri" w:hAnsi="Calibri" w:eastAsia="Calibri" w:cs="Calibri"/>
          <w:color w:val="000000"/>
          <w:sz w:val="22"/>
          <w:szCs w:val="22"/>
        </w:rPr>
        <w:t xml:space="preserve"> have failed.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Leaf buds on diseased peach trees, even those that should normally remain dormant, develop prematurely. Leaves produced from these buds are narrower and smaller than normal leaves, and as the season progresses, they become chlorotic and often develop red spots. Affected trees produce slender, branched, willowy shoots that grow upright from the main limbs, thus giving the tree a bushy appearance. Leaves borne on the abnormal shoots are dwarfed, severely chlorotic with the margins rolled upward and drop prematurely. As the disease progresses, diseased limbs dieback and the trees succumb one to five years later. Fruits produced on diseased limbs ripen two to three weeks earlier than healthy fruits. They are of normal size but of low quality, usually with a bitter taste. In red-skinned cultivars, the fruit surface shows highly pigmented spots with red streaks in the flesh and a pronounced red colour around the pit (Dunez, 1981; Kirkpatrick,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microscope studies have shown the presence of typical phytoplasma bodies in sieve tube elements of peach trees exhibiting peach yellows symptoms, and in periwinkle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plants following dodder transmission from peach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1974a, b). The bodies were often present in very large numbers, they were surrounded by a unit membrane and contained in their cytoplasm, dispersed strands resembling DNA and ribosome granules. They were morphologically indistinguishable from those associated with other phytoplasmal diseases.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can be tested on peach seedlings (cv. Elberta or GF305) in the field, but it takes 4 years for results to be certain. It can also be tested on the same indicators in the glasshouse, symptoms appearing up to 3 months after inoculation. However, for reliable diagnosis, the identity of the infecting phytoplasma should be determined by molecular technologies such as PCR-based methods. Universal phytoplasma primers as well as X-disease group-specific primers have been designed, directed to ribosomal or non-ribosomal DNA sequences. Primers amplifying rDNA sequences are the most extensively used (Hadidi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sensitivity of detection can be increased by nested PCR.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is spread locally by the insect vector whereas the use of infected plant material is responsible for long-distance movement of the pathogen. Abiotic factors are not involved in natural spread of the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 yellows was responsible for serious losses in the USA in the 19th century, when it was the object of classic research by Erwin Smith (who failed, not surprisingly, to establish the nature of the agent) and of some of the first legislative measures against a plant disease (Michigan Yellows Law of 1875) (Ainsworth, 1981). Severe outbreaks continued into the early 20th century but in recent decades the disease has been seen only rarely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Pine &amp; Gilmer (1976) reported that peach yellows disease tended to follow a cyclical pattern in large peach-growing areas. More recently, peach yellows disease affects only a few trees within an orchard in the South-Eastern United States. Symptomatic trees do not emerge from dormancy, and this results in the loss of a few trees with relatively little economic impact. The greatest economic impact in the South-Eastern United States is that budwood from sources on the east coast cannot be exported to states on the west coast because of embargo based on the possible latent presence of this disease and its graft transmissibility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trees should be destroyed and the insect vector </w:t>
      </w:r>
      <w:r>
        <w:rPr>
          <w:rFonts w:ascii="Calibri" w:hAnsi="Calibri" w:eastAsia="Calibri" w:cs="Calibri"/>
          <w:i/>
          <w:iCs/>
          <w:color w:val="000000"/>
          <w:sz w:val="22"/>
          <w:szCs w:val="22"/>
        </w:rPr>
        <w:t xml:space="preserve">Macropsis trimaculata</w:t>
      </w:r>
      <w:r>
        <w:rPr>
          <w:rFonts w:ascii="Calibri" w:hAnsi="Calibri" w:eastAsia="Calibri" w:cs="Calibri"/>
          <w:color w:val="000000"/>
          <w:sz w:val="22"/>
          <w:szCs w:val="22"/>
        </w:rPr>
        <w:t xml:space="preserve"> should be controlled. Healthy planting material should be used for establishing new orchards. In this respect, peach yellows was one of the first 'virus-like' diseases to be treated using thermotherapy. The pathogen is eliminated from dormant trees and buds by hot-water treatment at 50°C for 10 and 3-4 min, respectively (Kunkel, 1936b).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among all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There are probably susceptible European cultivars and, in any case, American cultivars are frequently introduced. Though the American vector does not occur in Europe, local insects might act as vectors.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is recommended, and nuclear stocks should be screened at regular intervals using highly sensitive PCR-based tests. However, this pest is undoubtedly less important than peach X-disease phytoplasma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planting material should come from a field inspected during the growing season and, particularly for material from infested countries, the material should be subject to an official certification scheme, with particular emphasis on preventing infection of healthy material by the insect vector. The EPPO certification scheme for fruit trees (EPPO, 2001a, 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Ainsworth GC (1981) </w:t>
      </w:r>
      <w:r>
        <w:rPr>
          <w:rFonts w:ascii="Calibri" w:hAnsi="Calibri" w:eastAsia="Calibri" w:cs="Calibri"/>
          <w:i/>
          <w:iCs/>
          <w:color w:val="000000"/>
          <w:sz w:val="22"/>
          <w:szCs w:val="22"/>
        </w:rPr>
        <w:t xml:space="preserve">An introduction to the history of plant pathology</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(1981) Exotic virus and virus-like diseases of fruit trees.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251-258.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Peach X-disease phytoplasma.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Olmos A, Pasquini G, Barba M, Martin RR &amp; Shamloul AM (2011) Polymerase chain reaction for detection of systemic plant pathogens.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341-359.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Rosenberger DA &amp; Chevalier J (1974a) Mycoplasma-like bodies associated with peach and periwinkle exhibiting symptoms of peach yellows.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1154-1156.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&amp; Rosenberger J (1974b) Association of mycoplasma-like bodies with little peach and X-disease. Phytopathology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755-756.</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 Peach yellows.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 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(1936a) Immunological studies on the three peach diseases, yellows, rosette, and little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201-219.</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(1936b) Heat treatment for the control of yellows and other virus diseases of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809-830.</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96 </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Bottner-Parker KD &amp; Lee I-M (2019) PCR-based sequence analysis on multiple genes other than 16S rRNA gene for differentiation of phytoplasmas.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97-115.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Pine TS &amp; Gilmer RM (1976) Peach yellows. In: </w:t>
      </w:r>
      <w:r>
        <w:rPr>
          <w:rFonts w:ascii="Calibri" w:hAnsi="Calibri" w:eastAsia="Calibri" w:cs="Calibri"/>
          <w:i/>
          <w:iCs/>
          <w:color w:val="000000"/>
          <w:sz w:val="22"/>
          <w:szCs w:val="22"/>
        </w:rPr>
        <w:t xml:space="preserve">Diseases and non-infectious disorders of stone fruits in North America. USDA Agriculture Handbook</w:t>
      </w:r>
      <w:r>
        <w:rPr>
          <w:rFonts w:ascii="Calibri" w:hAnsi="Calibri" w:eastAsia="Calibri" w:cs="Calibri"/>
          <w:color w:val="000000"/>
          <w:sz w:val="22"/>
          <w:szCs w:val="22"/>
        </w:rPr>
        <w:t xml:space="preserve"> No. 437.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Peach yellows phytoplasma</w:t>
      </w:r>
      <w:r>
        <w:rPr>
          <w:rFonts w:ascii="Calibri" w:hAnsi="Calibri" w:eastAsia="Calibri" w:cs="Calibri"/>
          <w:color w:val="000000"/>
          <w:sz w:val="22"/>
          <w:szCs w:val="22"/>
        </w:rPr>
        <w:t xml:space="preserve">. EPPO datasheets on pests recommended for regulation. Available online. </w:t>
      </w:r>
      <w:hyperlink r:id="rId7483679c2dee98e9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139, Peach yellows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31-33. </w:t>
      </w:r>
      <w:hyperlink r:id="rId2032679c2dee99029" w:history="1">
        <w:r>
          <w:rPr>
            <w:rFonts w:ascii="Calibri" w:hAnsi="Calibri" w:eastAsia="Calibri" w:cs="Calibri"/>
            <w:color w:val="0000CC"/>
            <w:sz w:val="22"/>
            <w:szCs w:val="22"/>
            <w:u w:val="single"/>
          </w:rPr>
          <w:t xml:space="preserve">https://doi.org/10.1111/j.1365-2338.1986.tb01132.x</w:t>
        </w:r>
      </w:hyperlink>
    </w:p>
    <w:p>
      <w:r>
        <w:drawing>
          <wp:inline distT="0" distB="0" distL="0" distR="0">
            <wp:extent cx="1800000" cy="604800"/>
            <wp:docPr id="86352889" name="name9066679c2dee9909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81679c2dee9909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469852">
    <w:multiLevelType w:val="hybridMultilevel"/>
    <w:lvl w:ilvl="0" w:tplc="53342399">
      <w:start w:val="1"/>
      <w:numFmt w:val="decimal"/>
      <w:lvlText w:val="%1."/>
      <w:lvlJc w:val="left"/>
      <w:pPr>
        <w:ind w:left="720" w:hanging="360"/>
      </w:pPr>
    </w:lvl>
    <w:lvl w:ilvl="1" w:tplc="53342399" w:tentative="1">
      <w:start w:val="1"/>
      <w:numFmt w:val="lowerLetter"/>
      <w:lvlText w:val="%2."/>
      <w:lvlJc w:val="left"/>
      <w:pPr>
        <w:ind w:left="1440" w:hanging="360"/>
      </w:pPr>
    </w:lvl>
    <w:lvl w:ilvl="2" w:tplc="53342399" w:tentative="1">
      <w:start w:val="1"/>
      <w:numFmt w:val="lowerRoman"/>
      <w:lvlText w:val="%3."/>
      <w:lvlJc w:val="right"/>
      <w:pPr>
        <w:ind w:left="2160" w:hanging="180"/>
      </w:pPr>
    </w:lvl>
    <w:lvl w:ilvl="3" w:tplc="53342399" w:tentative="1">
      <w:start w:val="1"/>
      <w:numFmt w:val="decimal"/>
      <w:lvlText w:val="%4."/>
      <w:lvlJc w:val="left"/>
      <w:pPr>
        <w:ind w:left="2880" w:hanging="360"/>
      </w:pPr>
    </w:lvl>
    <w:lvl w:ilvl="4" w:tplc="53342399" w:tentative="1">
      <w:start w:val="1"/>
      <w:numFmt w:val="lowerLetter"/>
      <w:lvlText w:val="%5."/>
      <w:lvlJc w:val="left"/>
      <w:pPr>
        <w:ind w:left="3600" w:hanging="360"/>
      </w:pPr>
    </w:lvl>
    <w:lvl w:ilvl="5" w:tplc="53342399" w:tentative="1">
      <w:start w:val="1"/>
      <w:numFmt w:val="lowerRoman"/>
      <w:lvlText w:val="%6."/>
      <w:lvlJc w:val="right"/>
      <w:pPr>
        <w:ind w:left="4320" w:hanging="180"/>
      </w:pPr>
    </w:lvl>
    <w:lvl w:ilvl="6" w:tplc="53342399" w:tentative="1">
      <w:start w:val="1"/>
      <w:numFmt w:val="decimal"/>
      <w:lvlText w:val="%7."/>
      <w:lvlJc w:val="left"/>
      <w:pPr>
        <w:ind w:left="5040" w:hanging="360"/>
      </w:pPr>
    </w:lvl>
    <w:lvl w:ilvl="7" w:tplc="53342399" w:tentative="1">
      <w:start w:val="1"/>
      <w:numFmt w:val="lowerLetter"/>
      <w:lvlText w:val="%8."/>
      <w:lvlJc w:val="left"/>
      <w:pPr>
        <w:ind w:left="5760" w:hanging="360"/>
      </w:pPr>
    </w:lvl>
    <w:lvl w:ilvl="8" w:tplc="53342399" w:tentative="1">
      <w:start w:val="1"/>
      <w:numFmt w:val="lowerRoman"/>
      <w:lvlText w:val="%9."/>
      <w:lvlJc w:val="right"/>
      <w:pPr>
        <w:ind w:left="6480" w:hanging="180"/>
      </w:pPr>
    </w:lvl>
  </w:abstractNum>
  <w:abstractNum w:abstractNumId="65469851">
    <w:multiLevelType w:val="hybridMultilevel"/>
    <w:lvl w:ilvl="0" w:tplc="437070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469851">
    <w:abstractNumId w:val="65469851"/>
  </w:num>
  <w:num w:numId="65469852">
    <w:abstractNumId w:val="654698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9725636" Type="http://schemas.microsoft.com/office/2011/relationships/commentsExtended" Target="commentsExtended.xml"/><Relationship Id="rId967539290" Type="http://schemas.microsoft.com/office/2011/relationships/people" Target="people.xml"/><Relationship Id="rId4656679c2dee96bfe" Type="http://schemas.openxmlformats.org/officeDocument/2006/relationships/hyperlink" Target="https://gd.eppo.int/taxon/PHYP29/" TargetMode="External"/><Relationship Id="rId1585679c2dee96c42" Type="http://schemas.openxmlformats.org/officeDocument/2006/relationships/hyperlink" Target="https://gd.eppo.int/taxon/PHYP29/categorization" TargetMode="External"/><Relationship Id="rId7483679c2dee98e9b" Type="http://schemas.openxmlformats.org/officeDocument/2006/relationships/hyperlink" Target="https://gd.eppo.int" TargetMode="External"/><Relationship Id="rId2032679c2dee99029" Type="http://schemas.openxmlformats.org/officeDocument/2006/relationships/hyperlink" Target="https://doi.org/10.1111/j.1365-2338.1986.tb01132.x" TargetMode="External"/><Relationship Id="rId8268679c2dee97d9c" Type="http://schemas.openxmlformats.org/officeDocument/2006/relationships/image" Target="media/imgrId8268679c2dee97d9c.jpg"/><Relationship Id="rId7781679c2dee99091" Type="http://schemas.openxmlformats.org/officeDocument/2006/relationships/image" Target="media/imgrId7781679c2dee9909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