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aurantifolia'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aurantifolia'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Zreik,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Lime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aurantifolia</w:t>
            </w:r>
            <w:r>
              <w:rPr>
                <w:rFonts w:ascii="Calibri" w:hAnsi="Calibri" w:eastAsia="Calibri" w:cs="Calibri"/>
                <w:color w:val="000000"/>
                <w:position w:val="-3"/>
                <w:sz w:val="22"/>
                <w:szCs w:val="22"/>
              </w:rPr>
              <w:t xml:space="preserve"> Zreik, Bové &amp; Garnier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Oman witches' broom disease, WBDL, witches' broom of lime</w:t>
            </w:r>
            <w:hyperlink r:id="rId7148676c4b797b46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865676c4b797b51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PHYPAF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853334" name="name2917676c4b797bd02" descr="1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jpg"/>
                          <pic:cNvPicPr/>
                        </pic:nvPicPr>
                        <pic:blipFill>
                          <a:blip r:embed="rId9506676c4b797bcfd" cstate="print"/>
                          <a:stretch>
                            <a:fillRect/>
                          </a:stretch>
                        </pic:blipFill>
                        <pic:spPr>
                          <a:xfrm>
                            <a:off x="0" y="0"/>
                            <a:ext cx="2160000" cy="1281600"/>
                          </a:xfrm>
                          <a:prstGeom prst="rect">
                            <a:avLst/>
                          </a:prstGeom>
                          <a:ln w="0">
                            <a:noFill/>
                          </a:ln>
                        </pic:spPr>
                      </pic:pic>
                    </a:graphicData>
                  </a:graphic>
                </wp:inline>
              </w:drawing>
            </w:r>
            <w:hyperlink r:id="rId8616676c4b797bed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is classified in the peanut witches' broom group, taxonomic subgroup 16SrII-B of the classification based on the 16S rRNA gene sequence. The reference strain is the lime witches' broom phytoplasma (Zreik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several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aurantifolia’-related strains have been reported in the literature on various hosts, to date they have not been determined to belong to the subgroup II-B and are therefore not covered in this datasheet.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natural host of lime witches' broom phytoplasma is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the small-fruited acid lime which is grown mainly in India, China, Arabian Peninsula, Mexico, Southern Iran, the West Indies, Egypt, and the tropical Americas. </w:t>
      </w:r>
    </w:p>
    <w:p>
      <w:pPr>
        <w:widowControl w:val="on"/>
        <w:pBdr/>
        <w:spacing w:before="220" w:after="220" w:line="240" w:lineRule="auto"/>
        <w:ind w:left="0" w:right="0"/>
        <w:jc w:val="both"/>
      </w:pPr>
      <w:r>
        <w:rPr>
          <w:rFonts w:ascii="Calibri" w:hAnsi="Calibri" w:eastAsia="Calibri" w:cs="Calibri"/>
          <w:color w:val="000000"/>
          <w:sz w:val="22"/>
          <w:szCs w:val="22"/>
        </w:rPr>
        <w:t xml:space="preserve">As shown in the host list below, some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can also be a natural host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In Iran, the disease is not frequent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other than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Bakraee (a natural hybrid of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commonly used as a rootstock in Iran), and its occurrence appears to depend on the susceptibility of the rootstock, the vector populations, disease pressure in the infected region (% incidence), and the presence of infected lime trees in the vicinity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the phytoplasma has been graft-transmitted to several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macrophylla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trifoliata</w:t>
      </w:r>
      <w:r>
        <w:rPr>
          <w:rFonts w:ascii="Calibri" w:hAnsi="Calibri" w:eastAsia="Calibri" w:cs="Calibri"/>
          <w:color w:val="000000"/>
          <w:sz w:val="22"/>
          <w:szCs w:val="22"/>
        </w:rPr>
        <w:t xml:space="preserve">, but at a lower frequency and with slow symptom development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Hassanzadeh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Azadvar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Persian lime (</w:t>
      </w:r>
      <w:r>
        <w:rPr>
          <w:rFonts w:ascii="Calibri" w:hAnsi="Calibri" w:eastAsia="Calibri" w:cs="Calibri"/>
          <w:i/>
          <w:iCs/>
          <w:color w:val="000000"/>
          <w:sz w:val="22"/>
          <w:szCs w:val="22"/>
        </w:rPr>
        <w:t xml:space="preserve">Citrus × latifolia</w:t>
      </w:r>
      <w:r>
        <w:rPr>
          <w:rFonts w:ascii="Calibri" w:hAnsi="Calibri" w:eastAsia="Calibri" w:cs="Calibri"/>
          <w:color w:val="000000"/>
          <w:sz w:val="22"/>
          <w:szCs w:val="22"/>
        </w:rPr>
        <w:t xml:space="preserve">) is known as the most resistant lime cultivar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(Hassanzadeh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has been used to transmit the phytoplasma to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a widely used indicator plant for phytoplasmas.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witches' broom disease of lime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was reported in a few countries in Asia including Oman (Bové, 1986), the United Arab Emirates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Iran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An asymptomatic infection of lime in Brazil was observed and mentioned to belong to the subgroup II-C by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stated that the sequences of the </w:t>
      </w:r>
      <w:r>
        <w:rPr>
          <w:rFonts w:ascii="Calibri" w:hAnsi="Calibri" w:eastAsia="Calibri" w:cs="Calibri"/>
          <w:i/>
          <w:iCs/>
          <w:color w:val="000000"/>
          <w:sz w:val="22"/>
          <w:szCs w:val="22"/>
        </w:rPr>
        <w:t xml:space="preserve">imp</w:t>
      </w:r>
      <w:r>
        <w:rPr>
          <w:rFonts w:ascii="Calibri" w:hAnsi="Calibri" w:eastAsia="Calibri" w:cs="Calibri"/>
          <w:color w:val="000000"/>
          <w:sz w:val="22"/>
          <w:szCs w:val="22"/>
        </w:rPr>
        <w:t xml:space="preserve">, 16SrRNA, and </w:t>
      </w:r>
      <w:r>
        <w:rPr>
          <w:rFonts w:ascii="Calibri" w:hAnsi="Calibri" w:eastAsia="Calibri" w:cs="Calibri"/>
          <w:i/>
          <w:iCs/>
          <w:color w:val="000000"/>
          <w:sz w:val="22"/>
          <w:szCs w:val="22"/>
        </w:rPr>
        <w:t xml:space="preserve">tuf</w:t>
      </w:r>
      <w:r>
        <w:rPr>
          <w:rFonts w:ascii="Calibri" w:hAnsi="Calibri" w:eastAsia="Calibri" w:cs="Calibri"/>
          <w:color w:val="000000"/>
          <w:sz w:val="22"/>
          <w:szCs w:val="22"/>
        </w:rPr>
        <w:t xml:space="preserve"> genes from some phytoplasma isolates from Oman, Iran, Brazil, the United Arab Emirates and Saudi Arabia were identical and grouped with 16SrII-B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in phylogenetic analysis.</w:t>
      </w:r>
    </w:p>
    <w:p>
      <w:r>
        <w:drawing>
          <wp:inline distT="0" distB="0" distL="0" distR="0">
            <wp:extent cx="6120000" cy="3067200"/>
            <wp:docPr id="65785554" name="name7361676c4b797d097" descr="PHYPA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AF_distribution_map.jpg"/>
                    <pic:cNvPicPr/>
                  </pic:nvPicPr>
                  <pic:blipFill>
                    <a:blip r:embed="rId9467676c4b797d09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Oman, United Arab Emirates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Santa Catarina,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Lime witches' broom is the first well-characterized phytoplasma disease of citrus. It is an economically important and destructive disease and a significant limiting factor on acid lime production in the Middle East and threatens its production globally.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known as the main vector of the associated phytoplasma to healthy mature lime trees and seedlings (Bagheri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Asian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was also able to experimentally transmit the phytoplasma at a lower efficiency in a no-choice assay (Queiroz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no report is available regarding the natural transmission. To date, seed transmission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has not been proven (Faghihi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lime, witches' broom symptoms develop over the whole tree, accompanied by the production of small-sized leaves on proliferating shoots that tend to be yellowish-green, and reduced flower and fruit production. These are found in clusters on the branches of infected acid lime trees. The symptoms develop on branches gradually and the trees become unproductive until the whole tree collapses within 4-8 years of the first appearance of symptoms (Al-Ghaithi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some cases, no symptoms have been observed in infected trees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200-800 nm-sized phytoplasma cells that are pleomorphic can be easily observed through electron microscopy in sieve tubes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(above-mentioned symptoms).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is usually symptomatic, it may be present in the absence of symptoms due to its long incubation period, or the reaction of some cultivars like in Brazil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phytoplasma has been detected in infected trees through the use of monoclonal antibodies, PCR, and real-time PCR, by using specific primers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Mexican lime and periwinkle can be used as indicators in graft and biological transmission assays. In laboratories in the EPPO region, these methods are less used currently because of the lack of validation data, and detection using PCR followed by identification by sequence analysis is recommended, as described in the EPPO diagnostic protocol PM 7/133 (1) Generic detection of phytoplasmas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Lime witches' broom disease has spread naturally in Asian countries via its vector. Globally, there is a higher chance to distribute the disease with infected plants for planting. The emergence of witches' broom disease of lime in Oman, a region that has had a longstanding tradition of cultivating limes, raises the plausible assumption that the disease may have been imported from external sources. The entry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into the EPPO region could happen via infected plants for planting or vectors. However,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from countries where the pest occurs is prohibited in the EU (EU, 2023). The prohibition of import is likely in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producing countries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Entry of the phytoplasma with infected adults and nymphs of the leafhopper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unlikely because they move and leap away from plants when disturbed, therefore, it is highly improbable that these mobile stages would remain on host plant materials as it is handled along a pathway. Eggs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could be present on the plants, but to date, it remains unknown if eggs can carry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because it remains unknown if there is transovarial transmission of the phytoplasma to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severe and rapidly affect the whole tree, inhibiting flowering, and fruiting. Over 50% of the cultivated area of lime has been lost in Oman since it was reported in the 1970s and hundreds of thousands of lime trees have been destroyed in Iran due to witches’ broom disease of lime. The disease occurs widely in the coastal region of the Oman Sea. The potential impact of the disease is limited to those countries that grow acid lime commercially (see Phytosanitary risk). This disease is deemed significant enough to warrant the consideration of implementing a programme to completely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lack of viable solutions for treating plants infected with phytoplasma, the primary focus is on implementing preventative measures, including agronomic techniques and vector management, to minimize the spread and impact of the disease. To effectively manage witches’ broom disease of lime, it is strongly advised to utilize disease-free seedlings and planting materials and shield the nursery with a net that protects against insects. Routinely applying systemic insecticides is another strategy for controlling the vectors. Newly infected trees can be safeguarded by removing symptomatic branches, while highly infected trees should be eliminated to prevent further spread of the disease. Opting for resistant or tolerant species such as Persian lime and controlling weeds (which may serve as a reservoir for phytoplasmas) are additional measures that are highly recommended (Azadvar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Acid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the main host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is mostly not grown commercially in the EU because of ecoclimatic limitations (EFSA, 2017), although there is a small commercial cultivation in limited areas, such as Sicily in Italy (Gusella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Acid lime is also produced commercially, on a smaller scale than other citrus, in the warmest parts of the EPPO region, for example in Morocco and Israel (Sammama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2021a).</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citruses, especially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as well as mandarins and clementines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are the most economically important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in the Mediterranean area that can be infected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So far, it has been observed that the incidence of infection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on such crops is relatively infrequent in nature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Iran, particular combinations of factors were identified as being contributory to such infection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see under the Hosts section), but the same conditions are currently not met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introduction of the disease to the EPPO region, the 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tree plants for planting, originating from areas where the disease is prevalent, can be prohibited (CABI/EPPO, 1997), as is already the case in many EPPO countries. Alternatively, measures such as pest-free areas may be appropriate, as is the case for similar pests, as well as pest-free production sites or pest-free places of production with conditions also ensuring the absence of vectors. Healthy planting material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can be produced in the framework of a certification scheme. A pest survey card was prepared by the European Food Safety Authority (EFSA, 2021b) to assist EU Member States in planning their annual survey activities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Al‐Ghaithi AG, Al‐Sadi AM, Al‐Hammadi MS, Al‐Shariqi RM, Al‐Yahyai RA, Al‐Mahmooli IH, Carvalho CM, Elliot SL &amp; Hogenhout SA (2017) Expression of phytoplasma‐induced witches’ broom disease symptoms in acid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trees are affected by climatic conditions.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(8), 1380-1388.</w:t>
      </w:r>
    </w:p>
    <w:p>
      <w:pPr>
        <w:widowControl w:val="on"/>
        <w:pBdr/>
        <w:spacing w:before="220" w:after="220" w:line="240" w:lineRule="auto"/>
        <w:ind w:left="0" w:right="0"/>
        <w:jc w:val="left"/>
      </w:pPr>
      <w:r>
        <w:rPr>
          <w:rFonts w:ascii="Calibri" w:hAnsi="Calibri" w:eastAsia="Calibri" w:cs="Calibri"/>
          <w:color w:val="000000"/>
          <w:sz w:val="22"/>
          <w:szCs w:val="22"/>
        </w:rPr>
        <w:t xml:space="preserve">Al-Subhi AM, Al-Sadi AM, Al-Yahyai RA, Chen Y, Mathers T, Orlovskis Z, Moro G, Mugford S, Al-Hashmi KS &amp; Hogenhout SA (2021) Witches’ broom disease of lime contributes to phytoplasma epidemics and attracts insect vectors.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(9), 2637-2648.</w:t>
      </w:r>
    </w:p>
    <w:p>
      <w:pPr>
        <w:widowControl w:val="on"/>
        <w:pBdr/>
        <w:spacing w:before="220" w:after="220" w:line="240" w:lineRule="auto"/>
        <w:ind w:left="0" w:right="0"/>
        <w:jc w:val="left"/>
      </w:pPr>
      <w:r>
        <w:rPr>
          <w:rFonts w:ascii="Calibri" w:hAnsi="Calibri" w:eastAsia="Calibri" w:cs="Calibri"/>
          <w:color w:val="000000"/>
          <w:sz w:val="22"/>
          <w:szCs w:val="22"/>
        </w:rPr>
        <w:t xml:space="preserve">Azadvar M, Esmaeilzadeh-Hosseini SA, Salehi M, Al-Subhi AM, Hemmati C, Al-Ghaithi A &amp; Faghihi MM (2023) Updates on phytoplasma diseases associated with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in Asia. In </w:t>
      </w:r>
      <w:r>
        <w:rPr>
          <w:rFonts w:ascii="Calibri" w:hAnsi="Calibri" w:eastAsia="Calibri" w:cs="Calibri"/>
          <w:i/>
          <w:iCs/>
          <w:color w:val="000000"/>
          <w:sz w:val="22"/>
          <w:szCs w:val="22"/>
        </w:rPr>
        <w:t xml:space="preserve">Phytoplasma Diseases of Major Crops, Trees, and Weeds</w:t>
      </w:r>
      <w:r>
        <w:rPr>
          <w:rFonts w:ascii="Calibri" w:hAnsi="Calibri" w:eastAsia="Calibri" w:cs="Calibri"/>
          <w:color w:val="000000"/>
          <w:sz w:val="22"/>
          <w:szCs w:val="22"/>
        </w:rPr>
        <w:t xml:space="preserve"> (eds Tiwari A, Caglayan K, Hoat T, Al-Subhi A, Nejat N, Reddy G) pp. 265-281. Academic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Bagheri AN, Salehi M, Faghihi MM, Samavi S &amp; Sadeghi A (2009)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to Mexican lime by the leafhopper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in Iran.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(4), 105.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 (1986) Outbreaks and new records. Oman. Witches' broom disease of lime.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217-218.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Danet JL, Bananej K, Hassanzadeh N, Taghizadeh M, Salehi M &amp; Garnier M (2000) Witches’ broom disease of lime (WBDL) in Iran. </w:t>
      </w:r>
      <w:r>
        <w:rPr>
          <w:rFonts w:ascii="Calibri" w:hAnsi="Calibri" w:eastAsia="Calibri" w:cs="Calibri"/>
          <w:i/>
          <w:iCs/>
          <w:color w:val="000000"/>
          <w:sz w:val="22"/>
          <w:szCs w:val="22"/>
        </w:rPr>
        <w:t xml:space="preserve">International Organization of Citrus Virologists Conference Proceedings (1957-2010)</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(14), 207-212.</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Lime witches' broom phytoplasma. Data Sheets on Quarantine Pests. pp. 1022-1024. In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(PLH), Jeger M, Bragard C, Candresse T, Chatzivassiliou E, Dehnen‐Schmutz K, Gilioli G, Gregoire JC, Jaques Miret JA, MacLeod A &amp; Navarro MN. Pest categorization of Witches' broom disease of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aurantifolia</w:t>
      </w:r>
      <w:r>
        <w:rPr>
          <w:rFonts w:ascii="Calibri" w:hAnsi="Calibri" w:eastAsia="Calibri" w:cs="Calibri"/>
          <w:color w:val="000000"/>
          <w:sz w:val="22"/>
          <w:szCs w:val="22"/>
        </w:rPr>
        <w:t xml:space="preserve">) phytoplasma.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05027. 22 p. </w:t>
      </w:r>
      <w:hyperlink r:id="rId9919676c4b797ddcc" w:history="1">
        <w:r>
          <w:rPr>
            <w:rFonts w:ascii="Calibri" w:hAnsi="Calibri" w:eastAsia="Calibri" w:cs="Calibri"/>
            <w:color w:val="0000CC"/>
            <w:sz w:val="22"/>
            <w:szCs w:val="22"/>
            <w:u w:val="single"/>
          </w:rPr>
          <w:t xml:space="preserve">https://doi.org/10.2903/j.efsa.2017.5027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(2021a) EFSA Panel on Plant Health (PHL), Bragard C, Dehnen-Schmutz K, Di Serio F, Gonthier P, Jacques M-A, Jaques Miret JA, Justesen AF, MacLeod A, Magnusson CS, Navas-Cortes JA, Parnell S, Potting R, Reignault PL, Thulke H-H, Van der Werf W, Vicent Civera A, Yuen J, Zappal_a L, Lucchi A, Tena A, Mosbach-Schulz O, de la Peña E &amp; Milonas P. Scientific Opinion on the commodity risk assessment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 fruits from Israel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under a systems approach.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(3), 6427, 36 pp. </w:t>
      </w:r>
      <w:hyperlink r:id="rId8234676c4b797de7b" w:history="1">
        <w:r>
          <w:rPr>
            <w:rFonts w:ascii="Calibri" w:hAnsi="Calibri" w:eastAsia="Calibri" w:cs="Calibri"/>
            <w:color w:val="0000CC"/>
            <w:sz w:val="22"/>
            <w:szCs w:val="22"/>
            <w:u w:val="single"/>
          </w:rPr>
          <w:t xml:space="preserve">https://doi.org/10.2903/j.efsa.2021.6427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(2021b) Pest survey card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aurantifolia’ and its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EFSA supporting publication 2021:EN-7026. Available online: </w:t>
      </w:r>
      <w:hyperlink r:id="rId9580676c4b797def0" w:history="1">
        <w:r>
          <w:rPr>
            <w:rFonts w:ascii="Calibri" w:hAnsi="Calibri" w:eastAsia="Calibri" w:cs="Calibri"/>
            <w:color w:val="0000CC"/>
            <w:sz w:val="22"/>
            <w:szCs w:val="22"/>
            <w:u w:val="single"/>
          </w:rPr>
          <w:t xml:space="preserve">https://arcg.is/19SK8v</w:t>
        </w:r>
      </w:hyperlink>
      <w:r>
        <w:rPr>
          <w:rFonts w:ascii="Calibri" w:hAnsi="Calibri" w:eastAsia="Calibri" w:cs="Calibri"/>
          <w:color w:val="000000"/>
          <w:sz w:val="22"/>
          <w:szCs w:val="22"/>
        </w:rPr>
        <w:t xml:space="preserve">. Last updated: 30 November 2021. </w:t>
      </w:r>
      <w:hyperlink r:id="rId5260676c4b797df10" w:history="1">
        <w:r>
          <w:rPr>
            <w:rFonts w:ascii="Calibri" w:hAnsi="Calibri" w:eastAsia="Calibri" w:cs="Calibri"/>
            <w:color w:val="0000CC"/>
            <w:sz w:val="22"/>
            <w:szCs w:val="22"/>
            <w:u w:val="single"/>
          </w:rPr>
          <w:t xml:space="preserve">https://doi.org/10.2903/sp.efsa.2021.EN-70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7/61 (1) Diagnostics. Generic detection of phytoplasmas.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414-424.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7541676c4b797dfa2"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8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Faghihi MM, Bagheri AN, Bahrami HR, Hasanzadeh H, Rezazadeh R, Siampour M, Samavi S, Salehi M &amp; Izadpanah K (2011) Witches'-broom disease of lime affects seed germination and seedling growth but is not seed transmissible.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(4), 419-22.</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Zreik L &amp; Bové JM (1991) Witches' broom, a lethal mycoplasmal disease of lime trees in the sultanate of Oman and the United Arab Emirates.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546-551.</w:t>
      </w:r>
    </w:p>
    <w:p>
      <w:pPr>
        <w:widowControl w:val="on"/>
        <w:pBdr/>
        <w:spacing w:before="220" w:after="220" w:line="240" w:lineRule="auto"/>
        <w:ind w:left="0" w:right="0"/>
        <w:jc w:val="left"/>
      </w:pPr>
      <w:r>
        <w:rPr>
          <w:rFonts w:ascii="Calibri" w:hAnsi="Calibri" w:eastAsia="Calibri" w:cs="Calibri"/>
          <w:color w:val="000000"/>
          <w:sz w:val="22"/>
          <w:szCs w:val="22"/>
        </w:rPr>
        <w:t xml:space="preserve">Gusella G, Fiorenza A, Aiello D &amp; Polizzi G (2021) Unusual stylar-end breakdown and sour rot on key lime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in pre-harvest condition in Italy.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989. 7 pp.</w:t>
      </w:r>
    </w:p>
    <w:p>
      <w:pPr>
        <w:widowControl w:val="on"/>
        <w:pBdr/>
        <w:spacing w:before="220" w:after="220" w:line="240" w:lineRule="auto"/>
        <w:ind w:left="0" w:right="0"/>
        <w:jc w:val="left"/>
      </w:pPr>
      <w:r>
        <w:rPr>
          <w:rFonts w:ascii="Calibri" w:hAnsi="Calibri" w:eastAsia="Calibri" w:cs="Calibri"/>
          <w:color w:val="000000"/>
          <w:sz w:val="22"/>
          <w:szCs w:val="22"/>
        </w:rPr>
        <w:t xml:space="preserve">Hassanzadeh Khankahdani HH, Bahrami HR, Faghihi MM &amp; Bagheri A (2019) Reaction of some commercial citrus species and Iranian lime biotypes to witches' broom disease of lime.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23-29.</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Askari Seyahooei M, Nikooei M, Modarees Najafabadi SS, Goodarzi A, Amiri Mazraie M &amp; Faghihi MM (2020) Vector transmission of lime witches' broom phytoplasma to Mexican lime seedlings under greenhouse condition.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Al-Subhi AM &amp; Al-Sadi AM (2021a) History and current status of phytoplasma diseases in the Middle East.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226.</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&amp; Al-Sadi AM (2021b) Five decades of research on phytoplasma-induced witches' broom diseases. </w:t>
      </w:r>
      <w:r>
        <w:rPr>
          <w:rFonts w:ascii="Calibri" w:hAnsi="Calibri" w:eastAsia="Calibri" w:cs="Calibri"/>
          <w:i/>
          <w:iCs/>
          <w:color w:val="000000"/>
          <w:sz w:val="22"/>
          <w:szCs w:val="22"/>
        </w:rPr>
        <w:t xml:space="preserve">CABI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(002), 1-6.</w:t>
      </w:r>
    </w:p>
    <w:p>
      <w:pPr>
        <w:widowControl w:val="on"/>
        <w:pBdr/>
        <w:spacing w:before="220" w:after="220" w:line="240" w:lineRule="auto"/>
        <w:ind w:left="0" w:right="0"/>
        <w:jc w:val="left"/>
      </w:pPr>
      <w:r>
        <w:rPr>
          <w:rFonts w:ascii="Calibri" w:hAnsi="Calibri" w:eastAsia="Calibri" w:cs="Calibri"/>
          <w:color w:val="000000"/>
          <w:sz w:val="22"/>
          <w:szCs w:val="22"/>
        </w:rPr>
        <w:t xml:space="preserve">Queiroz RB, Donkersley P, Silva FN, Al-Mahmmoli IH, Al-Sadi AM, Carvalho CM &amp; Elliot SL (2016) Invasive mutualisms between a plant pathogen and insect vectors in the Middle East and Brazil. </w:t>
      </w:r>
      <w:r>
        <w:rPr>
          <w:rFonts w:ascii="Calibri" w:hAnsi="Calibri" w:eastAsia="Calibri" w:cs="Calibri"/>
          <w:i/>
          <w:iCs/>
          <w:color w:val="000000"/>
          <w:sz w:val="22"/>
          <w:szCs w:val="22"/>
        </w:rPr>
        <w:t xml:space="preserve">Royal Society Open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(12), 160557.</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Faghihi MM, Salehi E, Ebadi N &amp; Bertaccini A (2022) Molecular and biological characterization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aurantifolia’ strains infecting commercial citrus species in Iran.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(16), 1879-1898.</w:t>
      </w:r>
    </w:p>
    <w:p>
      <w:pPr>
        <w:widowControl w:val="on"/>
        <w:pBdr/>
        <w:spacing w:before="220" w:after="220" w:line="240" w:lineRule="auto"/>
        <w:ind w:left="0" w:right="0"/>
        <w:jc w:val="left"/>
      </w:pPr>
      <w:r>
        <w:rPr>
          <w:rFonts w:ascii="Calibri" w:hAnsi="Calibri" w:eastAsia="Calibri" w:cs="Calibri"/>
          <w:color w:val="000000"/>
          <w:sz w:val="22"/>
          <w:szCs w:val="22"/>
        </w:rPr>
        <w:t xml:space="preserve">Sammama A, Elyahyaoui O, Kerrouri S, Bouabid B, Ould AL, Al Rhorfi L &amp; Bengueddour R (2016) Qualitative study in vitro fruit and epicarpes </w:t>
      </w:r>
      <w:r>
        <w:rPr>
          <w:rFonts w:ascii="Calibri" w:hAnsi="Calibri" w:eastAsia="Calibri" w:cs="Calibri"/>
          <w:i/>
          <w:iCs/>
          <w:color w:val="000000"/>
          <w:sz w:val="22"/>
          <w:szCs w:val="22"/>
        </w:rPr>
        <w:t xml:space="preserve">Citrus limetta</w:t>
      </w:r>
      <w:r>
        <w:rPr>
          <w:rFonts w:ascii="Calibri" w:hAnsi="Calibri" w:eastAsia="Calibri" w:cs="Calibri"/>
          <w:color w:val="000000"/>
          <w:sz w:val="22"/>
          <w:szCs w:val="22"/>
        </w:rPr>
        <w:t xml:space="preserve"> Risso,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Burm. and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(Christm.) Swingle Gharb of Morocco. </w:t>
      </w:r>
      <w:r>
        <w:rPr>
          <w:rFonts w:ascii="Calibri" w:hAnsi="Calibri" w:eastAsia="Calibri" w:cs="Calibri"/>
          <w:i/>
          <w:iCs/>
          <w:color w:val="000000"/>
          <w:sz w:val="22"/>
          <w:szCs w:val="22"/>
        </w:rPr>
        <w:t xml:space="preserve">Journal of Advances in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1911-1921.</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FN, Queiroz RB, Souza AN, Al-Sadi AM, Siqueira DL, Elliot SL &amp; Carvalho CM (2014) First report of a 16SrII-C phytoplasma associated with asymptomatic acid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(11), 1577.</w:t>
      </w:r>
    </w:p>
    <w:p>
      <w:pPr>
        <w:widowControl w:val="on"/>
        <w:pBdr/>
        <w:spacing w:before="220" w:after="220" w:line="240" w:lineRule="auto"/>
        <w:ind w:left="0" w:right="0"/>
        <w:jc w:val="left"/>
      </w:pPr>
      <w:r>
        <w:rPr>
          <w:rFonts w:ascii="Calibri" w:hAnsi="Calibri" w:eastAsia="Calibri" w:cs="Calibri"/>
          <w:color w:val="000000"/>
          <w:sz w:val="22"/>
          <w:szCs w:val="22"/>
        </w:rPr>
        <w:t xml:space="preserve">Zreik L, Carle P, Bové JM &amp; Garnier M (1995) Characterization of the mycoplasmalike organism associated with witches'-broom disease of lime and proposition of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taxon for the organism,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449-453.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Chamran Hemmati and Mehrnoosh Nikooei (University of Hormozgan, Iran).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'Candidatus Phytoplasma aurantifolia'</w:t>
      </w:r>
      <w:r>
        <w:rPr>
          <w:rFonts w:ascii="Calibri" w:hAnsi="Calibri" w:eastAsia="Calibri" w:cs="Calibri"/>
          <w:color w:val="000000"/>
          <w:sz w:val="22"/>
          <w:szCs w:val="22"/>
        </w:rPr>
        <w:t xml:space="preserve">. EPPO datasheets on pests recommended for regulation. Available online. </w:t>
      </w:r>
      <w:hyperlink r:id="rId3245676c4b797e5e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6702028" name="name6627676c4b797e71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79676c4b797e71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284316">
    <w:multiLevelType w:val="hybridMultilevel"/>
    <w:lvl w:ilvl="0" w:tplc="20195572">
      <w:start w:val="1"/>
      <w:numFmt w:val="decimal"/>
      <w:lvlText w:val="%1."/>
      <w:lvlJc w:val="left"/>
      <w:pPr>
        <w:ind w:left="720" w:hanging="360"/>
      </w:pPr>
    </w:lvl>
    <w:lvl w:ilvl="1" w:tplc="20195572" w:tentative="1">
      <w:start w:val="1"/>
      <w:numFmt w:val="lowerLetter"/>
      <w:lvlText w:val="%2."/>
      <w:lvlJc w:val="left"/>
      <w:pPr>
        <w:ind w:left="1440" w:hanging="360"/>
      </w:pPr>
    </w:lvl>
    <w:lvl w:ilvl="2" w:tplc="20195572" w:tentative="1">
      <w:start w:val="1"/>
      <w:numFmt w:val="lowerRoman"/>
      <w:lvlText w:val="%3."/>
      <w:lvlJc w:val="right"/>
      <w:pPr>
        <w:ind w:left="2160" w:hanging="180"/>
      </w:pPr>
    </w:lvl>
    <w:lvl w:ilvl="3" w:tplc="20195572" w:tentative="1">
      <w:start w:val="1"/>
      <w:numFmt w:val="decimal"/>
      <w:lvlText w:val="%4."/>
      <w:lvlJc w:val="left"/>
      <w:pPr>
        <w:ind w:left="2880" w:hanging="360"/>
      </w:pPr>
    </w:lvl>
    <w:lvl w:ilvl="4" w:tplc="20195572" w:tentative="1">
      <w:start w:val="1"/>
      <w:numFmt w:val="lowerLetter"/>
      <w:lvlText w:val="%5."/>
      <w:lvlJc w:val="left"/>
      <w:pPr>
        <w:ind w:left="3600" w:hanging="360"/>
      </w:pPr>
    </w:lvl>
    <w:lvl w:ilvl="5" w:tplc="20195572" w:tentative="1">
      <w:start w:val="1"/>
      <w:numFmt w:val="lowerRoman"/>
      <w:lvlText w:val="%6."/>
      <w:lvlJc w:val="right"/>
      <w:pPr>
        <w:ind w:left="4320" w:hanging="180"/>
      </w:pPr>
    </w:lvl>
    <w:lvl w:ilvl="6" w:tplc="20195572" w:tentative="1">
      <w:start w:val="1"/>
      <w:numFmt w:val="decimal"/>
      <w:lvlText w:val="%7."/>
      <w:lvlJc w:val="left"/>
      <w:pPr>
        <w:ind w:left="5040" w:hanging="360"/>
      </w:pPr>
    </w:lvl>
    <w:lvl w:ilvl="7" w:tplc="20195572" w:tentative="1">
      <w:start w:val="1"/>
      <w:numFmt w:val="lowerLetter"/>
      <w:lvlText w:val="%8."/>
      <w:lvlJc w:val="left"/>
      <w:pPr>
        <w:ind w:left="5760" w:hanging="360"/>
      </w:pPr>
    </w:lvl>
    <w:lvl w:ilvl="8" w:tplc="20195572" w:tentative="1">
      <w:start w:val="1"/>
      <w:numFmt w:val="lowerRoman"/>
      <w:lvlText w:val="%9."/>
      <w:lvlJc w:val="right"/>
      <w:pPr>
        <w:ind w:left="6480" w:hanging="180"/>
      </w:pPr>
    </w:lvl>
  </w:abstractNum>
  <w:abstractNum w:abstractNumId="65284315">
    <w:multiLevelType w:val="hybridMultilevel"/>
    <w:lvl w:ilvl="0" w:tplc="660835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284315">
    <w:abstractNumId w:val="65284315"/>
  </w:num>
  <w:num w:numId="65284316">
    <w:abstractNumId w:val="652843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2599054" Type="http://schemas.microsoft.com/office/2011/relationships/commentsExtended" Target="commentsExtended.xml"/><Relationship Id="rId552336198" Type="http://schemas.microsoft.com/office/2011/relationships/people" Target="people.xml"/><Relationship Id="rId7148676c4b797b468" Type="http://schemas.openxmlformats.org/officeDocument/2006/relationships/hyperlink" Target="https://gd.eppo.int/taxon/PHYPAF/" TargetMode="External"/><Relationship Id="rId9865676c4b797b514" Type="http://schemas.openxmlformats.org/officeDocument/2006/relationships/hyperlink" Target="https://gd.eppo.int/taxon/PHYPAF/categorization" TargetMode="External"/><Relationship Id="rId8616676c4b797bedd" Type="http://schemas.openxmlformats.org/officeDocument/2006/relationships/hyperlink" Target="https://gd.eppo.int/taxon/PHYPAF/photos" TargetMode="External"/><Relationship Id="rId9919676c4b797ddcc" Type="http://schemas.openxmlformats.org/officeDocument/2006/relationships/hyperlink" Target="https://doi.org/10.2903/j.efsa.2017.5027" TargetMode="External"/><Relationship Id="rId8234676c4b797de7b" Type="http://schemas.openxmlformats.org/officeDocument/2006/relationships/hyperlink" Target="https://doi.org/10.2903/j.efsa.2021.6427" TargetMode="External"/><Relationship Id="rId9580676c4b797def0" Type="http://schemas.openxmlformats.org/officeDocument/2006/relationships/hyperlink" Target="https://arcg.is/19SK8v" TargetMode="External"/><Relationship Id="rId5260676c4b797df10" Type="http://schemas.openxmlformats.org/officeDocument/2006/relationships/hyperlink" Target="https://doi.org/10.2903/sp.efsa.2021.EN-70" TargetMode="External"/><Relationship Id="rId7541676c4b797dfa2" Type="http://schemas.openxmlformats.org/officeDocument/2006/relationships/hyperlink" Target="https://eur-lex.europa.eu/legal-content/EN/TXT/?uri=CELEX%3A32019R2072" TargetMode="External"/><Relationship Id="rId3245676c4b797e5e9" Type="http://schemas.openxmlformats.org/officeDocument/2006/relationships/hyperlink" Target="https://gd.eppo.int" TargetMode="External"/><Relationship Id="rId9506676c4b797bcfd" Type="http://schemas.openxmlformats.org/officeDocument/2006/relationships/image" Target="media/imgrId9506676c4b797bcfd.jpg"/><Relationship Id="rId9467676c4b797d094" Type="http://schemas.openxmlformats.org/officeDocument/2006/relationships/image" Target="media/imgrId9467676c4b797d094.jpg"/><Relationship Id="rId7079676c4b797e712" Type="http://schemas.openxmlformats.org/officeDocument/2006/relationships/image" Target="media/imgrId7079676c4b797e71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