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phoenicium'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phoenicium'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Almond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phoenicium</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AlmWB, Almond lethal witches' broom, witches' broom of almond</w:t>
            </w:r>
            <w:hyperlink r:id="rId6407669e759d3a5f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20669e759d3a66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9072184" name="name7083669e759d3adc9" descr="12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0.jpg"/>
                          <pic:cNvPicPr/>
                        </pic:nvPicPr>
                        <pic:blipFill>
                          <a:blip r:embed="rId7387669e759d3adc7" cstate="print"/>
                          <a:stretch>
                            <a:fillRect/>
                          </a:stretch>
                        </pic:blipFill>
                        <pic:spPr>
                          <a:xfrm>
                            <a:off x="0" y="0"/>
                            <a:ext cx="2160000" cy="1281600"/>
                          </a:xfrm>
                          <a:prstGeom prst="rect">
                            <a:avLst/>
                          </a:prstGeom>
                          <a:ln w="0">
                            <a:noFill/>
                          </a:ln>
                        </pic:spPr>
                      </pic:pic>
                    </a:graphicData>
                  </a:graphic>
                </wp:inline>
              </w:drawing>
            </w:r>
            <w:hyperlink r:id="rId8269669e759d3af0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phoenicium' is accommodated in the phytoplasma taxonomic group 16SrIX (group Pigeon Pea Witches’ Broom) of the classification based on 16S rRNA sequences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has been assigned to the subgroup 16SrIX-B, according to phylogenetic analysis of 16SrRNA confirmed by that of the protein-coding genetic loci rplV-rpsC and secY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reference strain is the Lebanese strain A4 associated with a lethal almond witches’-broom (AlmWB) also known as almond lethal proliferation: it is described by its 16SrRNA sequence (GenBank accession AF515636) and possesses the AlmF1 5’-CCTTTTTCGGAAGGTATG-3’ oligonucleotide sequence complementary to a unique region of 16S rRNA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addition to the phytoplasma reference strain A4 (LalmWB), two other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strains also associated with AlmWB have been described: namely AlmWB1 from Lebanon (GenBank accession AF390136) and NalmWB from Neyriz, Iran (AF515637)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All other phytoplasma strains possessing the AlmF1 sequence but sharing more than 97.5 % identity of 16SrRNA and less than 100% to the GenBank accession AF515636, can only be described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according to the rule collectively edited and adopted (IRPCM Phytoplasma/Spiroplasma Working Team, Phytoplasma taxonomy group, 2004).</w:t>
      </w:r>
    </w:p>
    <w:p>
      <w:pPr>
        <w:widowControl w:val="on"/>
        <w:pBdr/>
        <w:spacing w:before="220" w:after="220" w:line="240" w:lineRule="auto"/>
        <w:ind w:left="0" w:right="0"/>
        <w:jc w:val="both"/>
      </w:pPr>
      <w:r>
        <w:rPr>
          <w:rFonts w:ascii="Calibri" w:hAnsi="Calibri" w:eastAsia="Calibri" w:cs="Calibri"/>
          <w:color w:val="000000"/>
          <w:sz w:val="22"/>
          <w:szCs w:val="22"/>
        </w:rPr>
        <w:t xml:space="preserve">A study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genetic diversity among samples of diseased almond, peach and nectarine trees collected in diverse geographic regions of Lebanon highlighted the absence of genetic variations in their 16SrRNA, tufB and groEL while the hyper-variable gene </w:t>
      </w:r>
      <w:r>
        <w:rPr>
          <w:rFonts w:ascii="Calibri" w:hAnsi="Calibri" w:eastAsia="Calibri" w:cs="Calibri"/>
          <w:i/>
          <w:iCs/>
          <w:color w:val="000000"/>
          <w:sz w:val="22"/>
          <w:szCs w:val="22"/>
        </w:rPr>
        <w:t xml:space="preserve">inmp</w:t>
      </w:r>
      <w:r>
        <w:rPr>
          <w:rFonts w:ascii="Calibri" w:hAnsi="Calibri" w:eastAsia="Calibri" w:cs="Calibri"/>
          <w:color w:val="000000"/>
          <w:sz w:val="22"/>
          <w:szCs w:val="22"/>
        </w:rPr>
        <w:t xml:space="preserve"> allowed differentiation according to plant host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host range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mostly restricted to cultivated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and wild almond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Prunus persica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nucipersica</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identified in the rootstock GF-677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in a wild almond species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were found associated with the following host plants: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Turkey (Canik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Iran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L.) in Turkey (Çaglayan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juniper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in the USA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garlic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L.) and onion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L.) in India (Goel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chrysanthemum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Iran (Bayat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Madagascar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in Brazil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aspera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1999, almond trees with symptoms of leaf yellowing, shoot proliferation, and dieback were observed in the Bekaa region, Lebanon, where a phytoplasma infection belonging to the pigeon pea witches' broom cluster (PPWB) was reported for the first time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and nectarine in southern Lebanon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disease was observed throughout the country, in 16 out of 24 Lebanese districts from coastal areas to high mountainous areas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w:t>
      </w:r>
    </w:p>
    <w:p>
      <w:pPr>
        <w:widowControl w:val="on"/>
        <w:pBdr/>
        <w:spacing w:before="220" w:after="220" w:line="240" w:lineRule="auto"/>
        <w:ind w:left="0" w:right="0"/>
        <w:jc w:val="both"/>
      </w:pPr>
      <w:r>
        <w:rPr>
          <w:rFonts w:ascii="Calibri" w:hAnsi="Calibri" w:eastAsia="Calibri" w:cs="Calibri"/>
          <w:color w:val="000000"/>
          <w:sz w:val="22"/>
          <w:szCs w:val="22"/>
        </w:rPr>
        <w:t xml:space="preserve">In Iran, the disease was first detected in almond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later on apricot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Ghayeb Zamharir &amp; Nazari, 2019).</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almond plants showing phytoplasma symptoms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were reported in Apulia region,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82400426" name="name8090669e759d3c7eb" descr="PHYP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H_distribution_map.jpg"/>
                    <pic:cNvPicPr/>
                  </pic:nvPicPr>
                  <pic:blipFill>
                    <a:blip r:embed="rId5837669e759d3c7e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Jordan,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Jordan, Lebanon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present in the phloem tissue of the stems and the roots of host plants throughout the year (Jawhari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phytoplasma cells are restricted to the sieve tubes and can be found in leaf petioles and midveins.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There are no data on the latency period under natural conditions, which seems to vary depending on varieties and conditions. However, symptoms appeared later on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(wild almond) than on cultivated almond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 Choueiri, unpublished data). The incubation period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stone fruits varies and may reach more than one year. In a survey in Lebanon in 2000-2002, all almond varieties were affected: some were highly susceptible and developed severe proliferation and witches’-broom leading to rapid death, whereas others were less affected (limited parts of the canopy, or only few trees in an orchard)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such differences may also be due to differences in latency in different cultivars. No specific up-to-date study on susceptibility has been carried out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phytoplasma could be experimentally transmitted by graft-inoculation of infected almond shoots onto seedlings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GF305) and plum (</w:t>
      </w:r>
      <w:r>
        <w:rPr>
          <w:rFonts w:ascii="Calibri" w:hAnsi="Calibri" w:eastAsia="Calibri" w:cs="Calibri"/>
          <w:i/>
          <w:iCs/>
          <w:color w:val="000000"/>
          <w:sz w:val="22"/>
          <w:szCs w:val="22"/>
        </w:rPr>
        <w:t xml:space="preserve">Prunus mariana</w:t>
      </w:r>
      <w:r>
        <w:rPr>
          <w:rFonts w:ascii="Calibri" w:hAnsi="Calibri" w:eastAsia="Calibri" w:cs="Calibri"/>
          <w:color w:val="000000"/>
          <w:sz w:val="22"/>
          <w:szCs w:val="22"/>
        </w:rPr>
        <w:t xml:space="preserve"> GF8-1) and the symptoms were reproduced in 1 month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or 4-6 months according to other graft inoculation trials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When AlmWB-infected almond trees were grafted with apricot or plum scions, their growth was symptomless for over 2 years in the field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 Choueiri, unpublished data). In addition, shoots developing from Farclo apricot grafted on AlmWB-infected trees in the field showed severe symptoms 2 months after grafting but recovered 3 months later, and remained symptomless for about 2.5 years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spread of almond witches’-broom (AlmWB) disease,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over large geographical areas suggests the prevalence of efficient insect vector(s). In insect transmission trials in Lebanon,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Empoasca decedens</w:t>
      </w:r>
      <w:r>
        <w:rPr>
          <w:rFonts w:ascii="Calibri" w:hAnsi="Calibri" w:eastAsia="Calibri" w:cs="Calibri"/>
          <w:color w:val="000000"/>
          <w:sz w:val="22"/>
          <w:szCs w:val="22"/>
        </w:rPr>
        <w:t xml:space="preserve">) (leafhopper; Hemiptera: Cicadellidae: Typhlocibinae) was shown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to almond and peach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Middle East,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is active throughout the year and has 4-5 generations per year. In field surveys in Lebanon in AlmWB-infected almond orchards,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was the most abundant Hemiptera and represented over 82% of leafhoppers trapped with the highest population levels in stone fruits in spring and summer (Dakhil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an infested orchard, it is therefore expected that there would be  a large number of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carrying the pathogen.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has not been confirmed as a vector in Iran but it is abundant in stone fruit orchards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Moreover, the results of molecular analyzes of the insect collection of cixiids carried out during surveys in Lebanon and the preliminary transmission trials gave interesting information on the potential role of different cixiid genera in the transmission of phytoplasmas in Lebanon. Leafhopper species of the genera</w:t>
      </w:r>
      <w:r>
        <w:rPr>
          <w:rFonts w:ascii="Calibri" w:hAnsi="Calibri" w:eastAsia="Calibri" w:cs="Calibri"/>
          <w:i/>
          <w:iCs/>
          <w:color w:val="000000"/>
          <w:sz w:val="22"/>
          <w:szCs w:val="22"/>
        </w:rPr>
        <w:t xml:space="preserve"> 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Eumecurus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Hyalesthes </w:t>
      </w:r>
      <w:r>
        <w:rPr>
          <w:rFonts w:ascii="Calibri" w:hAnsi="Calibri" w:eastAsia="Calibri" w:cs="Calibri"/>
          <w:color w:val="000000"/>
          <w:sz w:val="22"/>
          <w:szCs w:val="22"/>
        </w:rPr>
        <w:t xml:space="preserve">were found to be able to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whereas the species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viperinus</w:t>
      </w:r>
      <w:r>
        <w:rPr>
          <w:rFonts w:ascii="Calibri" w:hAnsi="Calibri" w:eastAsia="Calibri" w:cs="Calibri"/>
          <w:color w:val="000000"/>
          <w:sz w:val="22"/>
          <w:szCs w:val="22"/>
        </w:rPr>
        <w:t xml:space="preserve"> were able to transmit AlmWB phytoplasma to healthy GF305 potted peach seedlings. Such results should be further verified, because the two specimens were part of batches which included individuals of different species with potential role in disease transmission in orchards. So far, it was proven that at least leafhopper species of the genus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carrying Phytoplasmas were also collected from weed hosts </w:t>
      </w:r>
      <w:r>
        <w:rPr>
          <w:rFonts w:ascii="Calibri" w:hAnsi="Calibri" w:eastAsia="Calibri" w:cs="Calibri"/>
          <w:i/>
          <w:iCs/>
          <w:color w:val="000000"/>
          <w:sz w:val="22"/>
          <w:szCs w:val="22"/>
        </w:rPr>
        <w:t xml:space="preserve">Smilax aspera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spp., both found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Mackesy &amp; Sullivan (2016) and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suggested that weeds may act as a reservoir for the spread of AlmWB to stone fruit hosts, but this has not been demonstrated so far.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field inspections, it seems that symptoms on infected plants are expressed after a variable period of time after infection and depend on several factors (e.g. initial phytoplasma inoculum, incubation period, tree age, species/cultivar, phytosanitary status of the tree).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on almond trees include proliferation of slender shoots at several points on the main trunk of affected trees, or from the roots, with an occasional appearance of witches’-broom. Proliferation symptoms are always observed, but witches’-broom symptoms may appear only on some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Proliferation and witches’ broom are also observed on branches. However, perpendicular development of many auxiliary buds on the branches was also encountered. Trees also suffer from leaf size reduction and yellowing (pale green), stunted growth with short internodes, off-season growth, leaf rosetting, early flowering, general decline of affected trees and die-back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symptoms appeared exacerbated when trees were heavily pruned, affected branches or trees produce few or no fruits and in dry weather, the leaves may appear brownish-red. In the first symptomatic year, only some branches show symptoms, whereas the entire canopy is affected starting in the second year. Trees decline rapidly and some die within 3-4 years following the appearance of the first symptoms, whereas others may survive longer. On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wild almond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caused severe witches’-broom, yellowing and decline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peach and nectarine trees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the first symptom observed is the early flowering (15 to 20 days earlier than normal), followed by the early development of all the buds of the infected branches. In addition, some months after the normal flowering period, phyllody and serrate, slim, light green leaves develop on the plant branches and proliferation of shoots and witches’-brooms develop from the trunks and crowns of affected trees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Symptoms initially appear only on some branches, and all branches in subsequent years. The disease does not lead to dieback in peach as quickly as in almond. Field monitoring of affected peach and nectarine orchards showed that no mortality was observed after 3-4 years whereas mortality occurred within this time frame in almond groves (Choueiri, personal communication). On infected GF-677 trees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characteristic symptoms of the disease were internode shortening, chlorosis, reduced size of leaves especially in the broom, proliferation of slender upright shoots, witches' broom, stunting and dieback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On apricot, yellows symptoms including leaf yellowing, size reduction and inward leaf curl, scorch of leaf margins, shortened internodes, rosette at the tips of branches, die back and plant death were observed on apricot trees at MeshKan,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Affected branches either bore no fruits or fruits were small and abnormal in shape and taste. In Lebanon, a recovery phenomenon (remission of symptoms) was observed in apricot grafted on infected almond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is a pleiomorphic cell wall-less bacterium. Cells are predominantly filamentous and branched, 0.1–0.2 mm in diameter and are surrounded by the triple-layered cytoplasmic membrane characteristic of the class </w:t>
      </w:r>
      <w:r>
        <w:rPr>
          <w:rFonts w:ascii="Calibri" w:hAnsi="Calibri" w:eastAsia="Calibri" w:cs="Calibri"/>
          <w:i/>
          <w:iCs/>
          <w:color w:val="000000"/>
          <w:sz w:val="22"/>
          <w:szCs w:val="22"/>
        </w:rPr>
        <w:t xml:space="preserve">Mollicutes</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inspection and sampling</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to support eradication in countries where the disease is present, as well as for its surveillance in countries or areas where it is not present. Generally,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symptomatic, but it may be present in the absence of symptoms because of its long incubation period. This should be taken into account for sampling. Proliferation of slender shoots and witches’-broom arising mainly from the main trunks with the appearance of small and yellowing leaves, followed by general decline of affected trees are considered the most typical symptoms and can be used in field surveys as part of an initial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Sampling and extraction techniques are important as phytoplasmas may be distributed unevenly in the plant. On symptomatic trees, samples should be taken from symptomatic roots and/or stems excluding necrotic tissues. It is recommended to take representative samples (at least 10 cm long), from at least three different parts of the tree, with composite sampling. Testing of asymptomatic plants may not be reliable because they would not detect very low titres, which would result in false negatives. Thus, for plants showing suspicious symptoms or asymptomaticplants, it is recommended to collect samples from the four cardinal points in particular from the middle to high parts of the canopy (E. Choueiri, personal communication). The highest concentration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usually found in the phloem tissue of leaf midrib and stems (E. Choueiri, personal communication).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in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regarding sampling, detection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plant material, see the EPPO Diagnostic Standard on this pest (EPPO Standard PM 7/150).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limited to the plant phloem, movement of infected host plant material (seedlings, pot plants, rooted or unrooted cuttings, tissue culture, scions, and rootstocks) is the main pathway for entry and spread over short and long distances (primary introduction). No transmission through pollen, seeds or fruits has been demonstrated yet (EPPO,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vectors which are thought to be leafhoppers or planthoppers such as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seem to be able to transmit AlmWB phytoplasma and can be responsible for disease spread over short and long distances (secondary spread), because they can both spread the disease between plants and also travel with the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is an economically important and destructive phytoplasma in Lebanon where it caused the death of more than 100,000 almond trees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well as in several provinces of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2011; 2018).</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had devastating effects on the production of almond, peach and nectarine in Lebanon and Iran with corresponding social and economic impacts (EPPO, 2017). In diseased orchards, fruit quality is affected, and yield reduction can reach 70 to 100 %, depending on the proportion of infected canopy and may render affected orchards unprofitable, thus leading to the death of the almond infected trees 3-4 years after the appearance of initial symptoms, which led to the loss of a large number of trees in these countries. In many districts and provinces, the economic impact has also been dramatic and difficulties in maintaining economically viable orchards have forced many growers out of business. In this regard, in North Lebanon, where almonds were grown on a large scale in rain-fed areas, farmers could not easily replace almond by another crop with profitable economic return, and consequently constituted a great economic burden on farmers. Thus, the rapid spread of this devastating disease is alarming not only for Iran and Lebanon but also for other stone fruit growing countries worldwide.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Large-scale surveys are of utmost importance to detect newly established foci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an area as early as possible. Once detected, a rapid elimination of phytoplasma reservoirs either from individual trees or entire planted areas is the most effective practice to avoid the inoculum dispersal and to delay epidemic spread. In fact, promising preliminary results on eradication were already obtained in the South of Lebanon, where farmers responded rapidly by eradicating and burning diseased trees and no symptoms of infection were observed later in the region where these actions had been applied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Effective control measures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can be taken such as (i) promoting large-scale production of healthy nursery plants; (ii) use of certified plants from tested mother plants and healthy buds; (iii) avoiding grafting scions from infected trees; (iv) vector management applying insecticide sprays at critical flushing periods and weed management. Unfortunately, information on natural vectors is still incomplete; (v) continuous monitoring and surveillance even in regions where infected trees were eradicated; (vi) replacement of infected trees with non-hosts. This measure was adopted in Lebanon. Currently, there are no known almond cultivars that are resistant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from infected trees using tissue culture techniques with or without thermotherapy has been used to produce healthy seedlings (Chalak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 phoenicium’ is a serious threat for the stone fruit trees growing countries in the EPPO region (EPPO, 2017). Its recent detection on almond in Southern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raises questions on the potential movement of infested host plants from infested areas. Its impact on stone fruit and other hosts production can be destructive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Damage to stone fruits crops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expressed in the reduction and possibly complete loss of fruits and the subsequent death of trees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a high likelihood of establishing, spreading and causing impacts especially where the known vectors occur.</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 most significant phytosanitary risks, is the difficulty or inability to secure costly eradication and nursery certification programs and vector control. Accordingly, quarantine restrictions for imports are essential. The exchange of plant propagation material of unknown sanitary status poses a high risk for the establishment and spread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in particular in countries with a limited plant pest diagnostic capacity. Furthermore, there is a high uncertainty of information about the probable presence or distribution of phytoplasmas in several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and in the absence of curative treatments against this pathogen, prophylactic measures are still the only effective way to avoid infection of hosts or dissemination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phoenicium’-free areas. EPPO (2017) has recommended that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 plants for planting (except seed) should either come from a pest-free area, or should be grown under complete physical isolation (in both case with measures to prevent infestation by vectors for plants with foliage) and that in-vitro plants should be tested to ensure absence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desirable to warn NPPOs about the severe impacts of this pest on almond, peach, nectarine and apricot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strategies for phytoplasma containment can be adopted by: (i) prohibiting imports of plant material from high risk countries, (ii) developing a coherent legislative framework in the field of production of certified propagation material, (iii) improving phytosanitary inspection of imports to meet quarantine regulations, (iv) improve nurseries certification system (formal and/or informal), and (v) strengthening human capacity in pathogens diagnosis and controlling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insect vectors (Choueiri,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A, Hasanzadeh N, Ghayeb Zamharir M, Tohidfar M (2019) Identification of a group 16SrIX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phytoplasma associated with sweet orange exhibiting decline symptoms in Iran.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 </w:t>
      </w:r>
      <w:hyperlink r:id="rId7550669e759d3dd24" w:history="1">
        <w:r>
          <w:rPr>
            <w:rFonts w:ascii="Calibri" w:hAnsi="Calibri" w:eastAsia="Calibri" w:cs="Calibri"/>
            <w:color w:val="0000CC"/>
            <w:sz w:val="22"/>
            <w:szCs w:val="22"/>
            <w:u w:val="single"/>
          </w:rPr>
          <w:t xml:space="preserve">https://doi.org/10.1007/s13314-019-0342-9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Abou Jawdah Y, Choueiri E, Bianco PA, Molino-Lova M, Hajj-Hassan S, Al Achi R (2011) Almond witches’-broom phytoplasma: Situation in Lebanon.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Abdel Sater A, Jawhari M, Sobh H, Abdul Nour H, Bianco PA, Molino Lova M, Alma A (2014)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(Cicadellidae, Typhlocybinae), a natural vector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395-403.</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Dakhil H, El-Mehtar S, Lee IM (2003) Almond witches’-broom phytoplasma, a potential threat to almond, peach and nectarine.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Karakashian A, Sobh H, Martini M, Lee IM (2002) An epidemic of almond witches’-broom in Lebanon: classification and phylogenetic relationship of the associated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477–84.</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Sobh H, Akkary M (2009) First report of Almond witches’-broom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causing a severe disease on nectarine and peach trees in Lebanon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JC, Eckstein B, Bergamin Filho A, Bedendo IP, Kitajima EW (2012) Molecular characterization of a phytoplasma of group 16SrIX related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in periwinkle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Bayat H, Verhoeven JThJ, Botermans M, Peters D, Hassani-Mehraban A (2013) First report of a 16SrIX Group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a Chrysanthemum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1110.</w:t>
      </w:r>
    </w:p>
    <w:p>
      <w:pPr>
        <w:widowControl w:val="on"/>
        <w:pBdr/>
        <w:spacing w:before="220" w:after="220" w:line="240" w:lineRule="auto"/>
        <w:ind w:left="0" w:right="0"/>
        <w:jc w:val="left"/>
      </w:pPr>
      <w:r>
        <w:rPr>
          <w:rFonts w:ascii="Calibri" w:hAnsi="Calibri" w:eastAsia="Calibri" w:cs="Calibri"/>
          <w:color w:val="000000"/>
          <w:sz w:val="22"/>
          <w:szCs w:val="22"/>
        </w:rPr>
        <w:t xml:space="preserve">Çaglayan K, Gazel M, Acioglu M, Deniz Kocabag H, Sipahioglu HK (2019) Molecular identification of phytoplasmas in ornamental pomegranates in Turkey.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Canik D, Ertunc F, Paltrinieri S, Contaldo N, Bertaccini A (2011) Identification of different phytoplasmas infecting grapevine in Turkey.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S225-S226.</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Quaglino F, Abou-Jawdah Y, Picciau L, Cominetti A, Tedeschi R, Jawhari M, Choueiri E, Sobh H, Molino Lova M, Beyrouthy M, Alma A, Bianco PA (2016) Wild plants could play a role in the spread of diseases associated with phytoplasmas of pigeon pea witches'-broom group (16SrIX).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71-81. </w:t>
      </w:r>
      <w:hyperlink r:id="rId6093669e759d3e187" w:history="1">
        <w:r>
          <w:rPr>
            <w:rFonts w:ascii="Calibri" w:hAnsi="Calibri" w:eastAsia="Calibri" w:cs="Calibri"/>
            <w:color w:val="0000CC"/>
            <w:sz w:val="22"/>
            <w:szCs w:val="22"/>
            <w:u w:val="single"/>
          </w:rPr>
          <w:t xml:space="preserve">https://doi.org/10.4454/JPP.V98I1.026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Chalak L, Elbitar A, Rizk R, Choueiri E, Salar P, Bové JM (2005) Attempts to eliminate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from infected Lebanese almond varieties by tissue culture techniques combined or not with thermotherapy.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85-89.</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(2018) Emerging Phytoplasma diseases affecting fruit crops in the Arab region.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261-262.</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Jreijiri F, Issa S, Verdin E, Bové J, Garnier M (2001) First report of a phytoplasma disease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in Lebanon.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802.</w:t>
      </w:r>
    </w:p>
    <w:p>
      <w:pPr>
        <w:widowControl w:val="on"/>
        <w:pBdr/>
        <w:spacing w:before="220" w:after="220" w:line="240" w:lineRule="auto"/>
        <w:ind w:left="0" w:right="0"/>
        <w:jc w:val="left"/>
      </w:pPr>
      <w:r>
        <w:rPr>
          <w:rFonts w:ascii="Calibri" w:hAnsi="Calibri" w:eastAsia="Calibri" w:cs="Calibri"/>
          <w:color w:val="000000"/>
          <w:sz w:val="22"/>
          <w:szCs w:val="22"/>
        </w:rPr>
        <w:t xml:space="preserve">Dakhil H, Hammad EA, El-Mohtar C, Abou-Jawdah Y (2011) Survey of leafhopper species in almond orchards infected with almond witches’-broom phytoplasma in Lebanon.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Dallya EL, Zhao Y, Lee IM, Jomantiene R, Detweiler AJ, Putnam ML (2010) First report of a new subgroup 16SrIX-E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juniper witches’ broom disease in Oregon, USA.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EPPO, Paris. Available at </w:t>
      </w:r>
      <w:hyperlink r:id="rId3163669e759d3e405" w:history="1">
        <w:r>
          <w:rPr>
            <w:rFonts w:ascii="Calibri" w:hAnsi="Calibri" w:eastAsia="Calibri" w:cs="Calibri"/>
            <w:color w:val="0000CC"/>
            <w:sz w:val="22"/>
            <w:szCs w:val="22"/>
            <w:u w:val="single"/>
          </w:rPr>
          <w:t xml:space="preserve">https://gd.eppo.int/taxon/PHYPPH</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Diagnostic Protocol Standard PM 7/150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 </w:t>
      </w:r>
      <w:hyperlink r:id="rId4751669e759d3e456" w:history="1">
        <w:r>
          <w:rPr>
            <w:rFonts w:ascii="Calibri" w:hAnsi="Calibri" w:eastAsia="Calibri" w:cs="Calibri"/>
            <w:color w:val="0000CC"/>
            <w:sz w:val="22"/>
            <w:szCs w:val="22"/>
            <w:u w:val="single"/>
          </w:rPr>
          <w:t xml:space="preserve">https://doi.org/10.1111/epp.12799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Ghayeb Zamharir M, Nazari O (2019) Identification of 16SrIX-B phytoplasmas associated with apricot rosette in Iran. Identification of 16SrIX-B phytoplasmas associated with apricot rosette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219-220.</w:t>
      </w:r>
    </w:p>
    <w:p>
      <w:pPr>
        <w:widowControl w:val="on"/>
        <w:pBdr/>
        <w:spacing w:before="220" w:after="220" w:line="240" w:lineRule="auto"/>
        <w:ind w:left="0" w:right="0"/>
        <w:jc w:val="left"/>
      </w:pPr>
      <w:r>
        <w:rPr>
          <w:rFonts w:ascii="Calibri" w:hAnsi="Calibri" w:eastAsia="Calibri" w:cs="Calibri"/>
          <w:color w:val="000000"/>
          <w:sz w:val="22"/>
          <w:szCs w:val="22"/>
        </w:rPr>
        <w:t xml:space="preserve">Goel S, Priya M, Thorat V, Yadav A, Rao GP (2017) Identification and characterization of 16SrIX and 16SrXI groups of phytoplasmas associated with leaf yellows and declining diseases of garlic and onion in India. Indian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N, Gundersen-Rindal D, Davis RE (2010). The Tenericutes (Mollicutes). In Bergey's Manual of Systematic Bacteriology, Volume 4, N.R. Krieg, W. Ludwig, W. Whitman, B.P. Hedlund, B.J. Paster, J.T. Staley, N. Ward, D. Brown and A. Parte, eds. (New-York: Springer-Verlag), pp. 696-719.</w:t>
      </w:r>
    </w:p>
    <w:p>
      <w:pPr>
        <w:widowControl w:val="on"/>
        <w:pBdr/>
        <w:spacing w:before="220" w:after="220" w:line="240" w:lineRule="auto"/>
        <w:ind w:left="0" w:right="0"/>
        <w:jc w:val="left"/>
      </w:pPr>
      <w:r>
        <w:rPr>
          <w:rFonts w:ascii="Calibri" w:hAnsi="Calibri" w:eastAsia="Calibri" w:cs="Calibri"/>
          <w:color w:val="000000"/>
          <w:sz w:val="22"/>
          <w:szCs w:val="22"/>
        </w:rPr>
        <w:t xml:space="preserve">IRPCM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Jawhari M, Abrahamian P, Sater A, Sobh H, Tawidian P, Abou-Jawdah Y (2015) Specific PCR and real-time PCR assays for detection and quantitation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Molecular and cellular probes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Bottner-Parker KD, Zhao Y, Bertaccini A, Davis RE (2012) Differentiation and classification of phytoplasmas in the pigeon pea witches’-broom group (16SrIX): an update based on multiple gene sequence analysis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2279–85.</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Gundersen-Rindal DE (2000) Phytoplasma: phytopathogenic mollicutes. </w:t>
      </w:r>
      <w:r>
        <w:rPr>
          <w:rFonts w:ascii="Calibri" w:hAnsi="Calibri" w:eastAsia="Calibri" w:cs="Calibri"/>
          <w:i/>
          <w:iCs/>
          <w:color w:val="000000"/>
          <w:sz w:val="22"/>
          <w:szCs w:val="22"/>
        </w:rPr>
        <w:t xml:space="preserve">Annual Review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221-255.</w:t>
      </w:r>
    </w:p>
    <w:p>
      <w:pPr>
        <w:widowControl w:val="on"/>
        <w:pBdr/>
        <w:spacing w:before="220" w:after="220" w:line="240" w:lineRule="auto"/>
        <w:ind w:left="0" w:right="0"/>
        <w:jc w:val="left"/>
      </w:pPr>
      <w:r>
        <w:rPr>
          <w:rFonts w:ascii="Calibri" w:hAnsi="Calibri" w:eastAsia="Calibri" w:cs="Calibri"/>
          <w:color w:val="000000"/>
          <w:sz w:val="22"/>
          <w:szCs w:val="22"/>
        </w:rPr>
        <w:t xml:space="preserve">Mackesy DZ, Sullivan M (2016) CPHST Pest Datasheet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USDA-APHISPPQ-CPHST. Updated 6/3/2016.</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Mahfoud C, Abou Jawdah Y, Choueiri E, Abdul-Nour H, Fakr R, Al Achi R, Alma A, Picciau L, Bianco PA (2011a) Results of last surveys for stone fruit phytoplasma disease management in Lebanon. Book of Abstracts, pages 17-18. COST Action FA0807 workshop: Emerging phytoplasma diseases of stone fruits and other crops and their possible impact on EU countries. Istanbul Turkey, December 1-2, 2011.</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Casati P, Tedeschi R, Alma A, Bianco PA (2011b) Identification of new 16SrIX subgroups, -F and -G,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strains infecting almond, peach and nectarine in Lebanon.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273-282.</w:t>
      </w:r>
    </w:p>
    <w:p>
      <w:pPr>
        <w:widowControl w:val="on"/>
        <w:pBdr/>
        <w:spacing w:before="220" w:after="220" w:line="240" w:lineRule="auto"/>
        <w:ind w:left="0" w:right="0"/>
        <w:jc w:val="left"/>
      </w:pPr>
      <w:r>
        <w:rPr>
          <w:rFonts w:ascii="Calibri" w:hAnsi="Calibri" w:eastAsia="Calibri" w:cs="Calibri"/>
          <w:color w:val="000000"/>
          <w:sz w:val="22"/>
          <w:szCs w:val="22"/>
        </w:rPr>
        <w:t xml:space="preserve">Nigro F, Sion V, Antelmi I, Choueiri E, Habib W, Bruno A, Boscia D (2020)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on almond in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104, </w:t>
      </w:r>
      <w:r>
        <w:rPr>
          <w:rFonts w:ascii="Calibri" w:hAnsi="Calibri" w:eastAsia="Calibri" w:cs="Calibri"/>
          <w:color w:val="000000"/>
          <w:sz w:val="22"/>
          <w:szCs w:val="22"/>
        </w:rPr>
        <w:t xml:space="preserve">278. </w:t>
      </w:r>
      <w:hyperlink r:id="rId7533669e759d3e83a" w:history="1">
        <w:r>
          <w:rPr>
            <w:rFonts w:ascii="Calibri" w:hAnsi="Calibri" w:eastAsia="Calibri" w:cs="Calibri"/>
            <w:color w:val="0000CC"/>
            <w:sz w:val="22"/>
            <w:szCs w:val="22"/>
            <w:u w:val="single"/>
          </w:rPr>
          <w:t xml:space="preserve">https://doi.org/10.1094/PDIS-01-19-0157-PDN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Quaglino F, Kube M, Jawhari M, Abou-Jawdah Y, Siewert C, Choueiri E, Sobh H, Casati P, Tedeschi R, Molino Lova M, Alma A, Bianco PA (2015)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almond witches’-broom disease: from draft genome to genetic diversity among strain populations. </w:t>
      </w:r>
      <w:r>
        <w:rPr>
          <w:rFonts w:ascii="Calibri" w:hAnsi="Calibri" w:eastAsia="Calibri" w:cs="Calibri"/>
          <w:i/>
          <w:iCs/>
          <w:color w:val="000000"/>
          <w:sz w:val="22"/>
          <w:szCs w:val="22"/>
        </w:rPr>
        <w:t xml:space="preserve">BMC Microbiology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148. </w:t>
      </w:r>
      <w:hyperlink r:id="rId4368669e759d3e8bf" w:history="1">
        <w:r>
          <w:rPr>
            <w:rFonts w:ascii="Calibri" w:hAnsi="Calibri" w:eastAsia="Calibri" w:cs="Calibri"/>
            <w:color w:val="0000CC"/>
            <w:sz w:val="22"/>
            <w:szCs w:val="22"/>
            <w:u w:val="single"/>
          </w:rPr>
          <w:t xml:space="preserve">https://doi.org/10.1186/s12866-015-0487-4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Salehi M, Haghshenas F, Khanchezar A, Esmailzadeh-Hosseini SA (2011)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with GF-677 witches’-broom in Iran.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S113–S114.</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Izadpanah K, Heydarnejad J (2006) Characterization of a new almond witches’ broom phytoplasma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386−391.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Abbasian M, Izadpanah K (2015) Wild almond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potential source of almond witches’-broom phytoplasma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377-381.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Esmailzadeh-Hosseini SA, Quaglino F, Bianco PA (2019)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apricot yellows and peach witches’ broom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Quaglino F, Bianco PA (2018) Apricot yellows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Iran.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Tawidian P, Jawhari M, Hana Sobh H, Bianco PA, Abou-Jawdah Y (2017) The potential of grafting with selected stone fruit varieties for management of almond witches’ broom.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458−469.</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Picciau L, Quaglino F, Abou-Jawdah Y, Molino Lova M, Jawhari M, Casati P, Cominetti 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Choueiri E, Abdul-Nour H, Bianco PA, Alma A (2015) A cixiid survey for natural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Lebanon and preliminary transmission trials.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166, </w:t>
      </w:r>
      <w:r>
        <w:rPr>
          <w:rFonts w:ascii="Calibri" w:hAnsi="Calibri" w:eastAsia="Calibri" w:cs="Calibri"/>
          <w:color w:val="000000"/>
          <w:sz w:val="22"/>
          <w:szCs w:val="22"/>
        </w:rPr>
        <w:t xml:space="preserve">372-388.</w:t>
      </w:r>
      <w:r>
        <w:rPr>
          <w:rFonts w:ascii="Calibri" w:hAnsi="Calibri" w:eastAsia="Calibri" w:cs="Calibri"/>
          <w:b/>
          <w:bCs/>
          <w:color w:val="000000"/>
          <w:sz w:val="22"/>
          <w:szCs w:val="22"/>
        </w:rPr>
        <w:t xml:space="preserve"> </w:t>
      </w:r>
      <w:hyperlink r:id="rId7171669e759d3ec4b" w:history="1">
        <w:r>
          <w:rPr>
            <w:rFonts w:ascii="Calibri" w:hAnsi="Calibri" w:eastAsia="Calibri" w:cs="Calibri"/>
            <w:color w:val="0000CC"/>
            <w:sz w:val="22"/>
            <w:szCs w:val="22"/>
            <w:u w:val="single"/>
          </w:rPr>
          <w:t xml:space="preserve">https://doi.org/10.1111/aab.12188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 Zammar S, Gélie B, J. Bové JM, Garnier M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sp. nov., a novel phytoplasma associated with an emerging lethal disease of almond trees in Lebanon and Iran.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53, </w:t>
      </w:r>
      <w:r>
        <w:rPr>
          <w:rFonts w:ascii="Calibri" w:hAnsi="Calibri" w:eastAsia="Calibri" w:cs="Calibri"/>
          <w:color w:val="000000"/>
          <w:sz w:val="22"/>
          <w:szCs w:val="22"/>
        </w:rPr>
        <w:t xml:space="preserve">833-838. </w:t>
      </w:r>
      <w:hyperlink r:id="rId6460669e759d3ecd1" w:history="1">
        <w:r>
          <w:rPr>
            <w:rFonts w:ascii="Calibri" w:hAnsi="Calibri" w:eastAsia="Calibri" w:cs="Calibri"/>
            <w:color w:val="0000CC"/>
            <w:sz w:val="22"/>
            <w:szCs w:val="22"/>
            <w:u w:val="single"/>
          </w:rPr>
          <w:t xml:space="preserve">https://doi.org/10.1099/ijs.0.02453-0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El-Zammar S, Gélie B, Bové JM, Garnier M (2004) Phylogenetical characterization and PCR detection of a new phytoplasma in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Mediterranean area.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527-532.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Elia CHOUEIRI (Lebanese Agricultural Research Institute, Lebanon) and Xavier FOISSAC (National Research Institute for Agriculture, Food and Environment, INRAE,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phoenicium'</w:t>
      </w:r>
      <w:r>
        <w:rPr>
          <w:rFonts w:ascii="Calibri" w:hAnsi="Calibri" w:eastAsia="Calibri" w:cs="Calibri"/>
          <w:color w:val="000000"/>
          <w:sz w:val="22"/>
          <w:szCs w:val="22"/>
        </w:rPr>
        <w:t xml:space="preserve">. EPPO datasheets on pests recommended for regulation. Available online. </w:t>
      </w:r>
      <w:hyperlink r:id="rId8481669e759d3ee4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6902661" name="name5283669e759d3ef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71669e759d3ef1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482131">
    <w:multiLevelType w:val="hybridMultilevel"/>
    <w:lvl w:ilvl="0" w:tplc="83414634">
      <w:start w:val="1"/>
      <w:numFmt w:val="decimal"/>
      <w:lvlText w:val="%1."/>
      <w:lvlJc w:val="left"/>
      <w:pPr>
        <w:ind w:left="720" w:hanging="360"/>
      </w:pPr>
    </w:lvl>
    <w:lvl w:ilvl="1" w:tplc="83414634" w:tentative="1">
      <w:start w:val="1"/>
      <w:numFmt w:val="lowerLetter"/>
      <w:lvlText w:val="%2."/>
      <w:lvlJc w:val="left"/>
      <w:pPr>
        <w:ind w:left="1440" w:hanging="360"/>
      </w:pPr>
    </w:lvl>
    <w:lvl w:ilvl="2" w:tplc="83414634" w:tentative="1">
      <w:start w:val="1"/>
      <w:numFmt w:val="lowerRoman"/>
      <w:lvlText w:val="%3."/>
      <w:lvlJc w:val="right"/>
      <w:pPr>
        <w:ind w:left="2160" w:hanging="180"/>
      </w:pPr>
    </w:lvl>
    <w:lvl w:ilvl="3" w:tplc="83414634" w:tentative="1">
      <w:start w:val="1"/>
      <w:numFmt w:val="decimal"/>
      <w:lvlText w:val="%4."/>
      <w:lvlJc w:val="left"/>
      <w:pPr>
        <w:ind w:left="2880" w:hanging="360"/>
      </w:pPr>
    </w:lvl>
    <w:lvl w:ilvl="4" w:tplc="83414634" w:tentative="1">
      <w:start w:val="1"/>
      <w:numFmt w:val="lowerLetter"/>
      <w:lvlText w:val="%5."/>
      <w:lvlJc w:val="left"/>
      <w:pPr>
        <w:ind w:left="3600" w:hanging="360"/>
      </w:pPr>
    </w:lvl>
    <w:lvl w:ilvl="5" w:tplc="83414634" w:tentative="1">
      <w:start w:val="1"/>
      <w:numFmt w:val="lowerRoman"/>
      <w:lvlText w:val="%6."/>
      <w:lvlJc w:val="right"/>
      <w:pPr>
        <w:ind w:left="4320" w:hanging="180"/>
      </w:pPr>
    </w:lvl>
    <w:lvl w:ilvl="6" w:tplc="83414634" w:tentative="1">
      <w:start w:val="1"/>
      <w:numFmt w:val="decimal"/>
      <w:lvlText w:val="%7."/>
      <w:lvlJc w:val="left"/>
      <w:pPr>
        <w:ind w:left="5040" w:hanging="360"/>
      </w:pPr>
    </w:lvl>
    <w:lvl w:ilvl="7" w:tplc="83414634" w:tentative="1">
      <w:start w:val="1"/>
      <w:numFmt w:val="lowerLetter"/>
      <w:lvlText w:val="%8."/>
      <w:lvlJc w:val="left"/>
      <w:pPr>
        <w:ind w:left="5760" w:hanging="360"/>
      </w:pPr>
    </w:lvl>
    <w:lvl w:ilvl="8" w:tplc="83414634" w:tentative="1">
      <w:start w:val="1"/>
      <w:numFmt w:val="lowerRoman"/>
      <w:lvlText w:val="%9."/>
      <w:lvlJc w:val="right"/>
      <w:pPr>
        <w:ind w:left="6480" w:hanging="180"/>
      </w:pPr>
    </w:lvl>
  </w:abstractNum>
  <w:abstractNum w:abstractNumId="78482130">
    <w:multiLevelType w:val="hybridMultilevel"/>
    <w:lvl w:ilvl="0" w:tplc="46368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482130">
    <w:abstractNumId w:val="78482130"/>
  </w:num>
  <w:num w:numId="78482131">
    <w:abstractNumId w:val="784821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8619659" Type="http://schemas.microsoft.com/office/2011/relationships/commentsExtended" Target="commentsExtended.xml"/><Relationship Id="rId942507534" Type="http://schemas.microsoft.com/office/2011/relationships/people" Target="people.xml"/><Relationship Id="rId6407669e759d3a5f7" Type="http://schemas.openxmlformats.org/officeDocument/2006/relationships/hyperlink" Target="https://gd.eppo.int/taxon/PHYPPH/" TargetMode="External"/><Relationship Id="rId3820669e759d3a66b" Type="http://schemas.openxmlformats.org/officeDocument/2006/relationships/hyperlink" Target="https://gd.eppo.int/taxon/PHYPPH/categorization" TargetMode="External"/><Relationship Id="rId8269669e759d3af0f" Type="http://schemas.openxmlformats.org/officeDocument/2006/relationships/hyperlink" Target="https://gd.eppo.int/taxon/PHYPPH/photos" TargetMode="External"/><Relationship Id="rId7550669e759d3dd24" Type="http://schemas.openxmlformats.org/officeDocument/2006/relationships/hyperlink" Target="https://doi.org/10.1007/s13314-019-0342-9" TargetMode="External"/><Relationship Id="rId6093669e759d3e187" Type="http://schemas.openxmlformats.org/officeDocument/2006/relationships/hyperlink" Target="https://doi.org/10.4454/JPP.V98I1.026" TargetMode="External"/><Relationship Id="rId3163669e759d3e405" Type="http://schemas.openxmlformats.org/officeDocument/2006/relationships/hyperlink" Target="https://gd.eppo.int/taxon/PHYPPH" TargetMode="External"/><Relationship Id="rId4751669e759d3e456" Type="http://schemas.openxmlformats.org/officeDocument/2006/relationships/hyperlink" Target="https://doi.org/10.1111/epp.12799" TargetMode="External"/><Relationship Id="rId7533669e759d3e83a" Type="http://schemas.openxmlformats.org/officeDocument/2006/relationships/hyperlink" Target="https://doi.org/10.1094/PDIS-01-19-0157-PDN" TargetMode="External"/><Relationship Id="rId4368669e759d3e8bf" Type="http://schemas.openxmlformats.org/officeDocument/2006/relationships/hyperlink" Target="https://doi.org/10.1186/s12866-015-0487-4" TargetMode="External"/><Relationship Id="rId7171669e759d3ec4b" Type="http://schemas.openxmlformats.org/officeDocument/2006/relationships/hyperlink" Target="https://doi.org/10.1111/aab.12188" TargetMode="External"/><Relationship Id="rId6460669e759d3ecd1" Type="http://schemas.openxmlformats.org/officeDocument/2006/relationships/hyperlink" Target="https://doi.org/10.1099/ijs.0.02453-0" TargetMode="External"/><Relationship Id="rId8481669e759d3ee42" Type="http://schemas.openxmlformats.org/officeDocument/2006/relationships/hyperlink" Target="https://gd.eppo.int" TargetMode="External"/><Relationship Id="rId7387669e759d3adc7" Type="http://schemas.openxmlformats.org/officeDocument/2006/relationships/image" Target="media/imgrId7387669e759d3adc7.jpg"/><Relationship Id="rId5837669e759d3c7e8" Type="http://schemas.openxmlformats.org/officeDocument/2006/relationships/image" Target="media/imgrId5837669e759d3c7e8.jpg"/><Relationship Id="rId8971669e759d3ef1c" Type="http://schemas.openxmlformats.org/officeDocument/2006/relationships/image" Target="media/imgrId8971669e759d3ef1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