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cibriani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cibriani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O'Brien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hyperlink r:id="rId3108676da58e2926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176676da58e292a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PISOCI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1989 by O’Brien and there have been no taxonomic or nomenclatural changes since.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is the only known host of </w:t>
      </w: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Although the distribution of several other native species of pines overlaps with the distribution of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there are no records that they have been infested </w:t>
      </w:r>
      <w:r>
        <w:rPr>
          <w:rFonts w:ascii="Calibri" w:hAnsi="Calibri" w:eastAsia="Calibri" w:cs="Calibri"/>
          <w:i/>
          <w:iCs/>
          <w:color w:val="000000"/>
          <w:sz w:val="22"/>
          <w:szCs w:val="22"/>
        </w:rPr>
        <w:t xml:space="preserve">by P. cibriani</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is currently known only from the state of Hidalgo in Mexico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It is possible that the species occurs in other states in Mexico where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naturally grows: Puebla, Tlaxacala, and Northern Oaxaca.</w:t>
      </w:r>
    </w:p>
    <w:p>
      <w:r>
        <w:drawing>
          <wp:inline distT="0" distB="0" distL="0" distR="0">
            <wp:extent cx="6120000" cy="3067200"/>
            <wp:docPr id="45940412" name="name1620676da58e2a394" descr="PISO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CI_distribution_map.jpg"/>
                    <pic:cNvPicPr/>
                  </pic:nvPicPr>
                  <pic:blipFill>
                    <a:blip r:embed="rId3335676da58e2a39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detailed study of the biology of this species is provided in the unpublished thesis of Pineda Torres &amp; Guerrero Alarcón (1983), and some of this information was included in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This species completes two generations per year, one from August to November and another from November to July of the following year. When a new generation of adults emerges, mainly from the lower trunk of the tree, they move to feed on the current year’s growth and sometimes on the internodes produced 1-3 years before. Adults have been observed feeding on branches along the full length of the trees. Feeding consists of inserting the snout through the bark to feed on the phloem layer, creating feeding punctures of about 0.4 mm in diameter. Adults feed for more than 40 days during which time many feeding punctures are made in the new shoots. Adults then move to the trunk to mate and oviposit in the bark. Although eggs can be laid along the entire length of the stem, most oviposition occurs in the lower portion of the stem up to about a height of 1 m above the ground. Females chew small oviposition punctures into the bark creating a small cavity in the phloem into which usually one egg is laid, but sometimes two and rarely 3-4. Eggs hatch after about 10 days. Larvae make individual feeding galleries in the phloem, generally descending the trunk, and these widen as the larvae grow. Larvae pass through the first four instars in about 30 days. The duration of the fifth instar varies from about 20 days in the August-to-November generation, where there is no overwintering, to about 120 days in the November-to-July generation during which most time is spent in the non-feeding pre-pupal phase. When the larva reaches maturity, it creates an oval chamber (8 mm x 3 mm) in the xylem and fills the exterior portion with wood fibres (Alarcón, 1983). These chambers are called ‘chip cocoons’ and are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worldwide. Some larvae develop in the base of thicker branches rather than in the trunk. The pupal stage lasts 20-30 days. After the new adult emerges from the pupa, it remains in the chip cocoon for about 7 days while its cuticle hardens. Then the adult chews a round hole of about 2.2 mm diameter through the chip cocoon and bark and emerges to commence feeding.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trees most commonly attacked by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and therefore most commonly presenting symptoms, are saplings up to 8 m in height and 8 cm diameter (most frequently those 1-5 m tall and 1-4 cm diameter) that are weakened, often due to competition in dense regenerating stands or by shading of saplings by taller trees (Pineda Torres &amp; Guerrero Alarcón, 1983). Feeding punctures on twigs of new foliage and 1- to 3-year-old internodes sometimes leak resin which is visible from a few metres away. Upon close inspection feeding punctures of about 0.4 mm in diameter can be seen. Sometimes feeding punctures are so abundant that they can cause premature needle fall, shoot deformation, and a decrease in new shoot growth, which is visible from a longer distance. As larvae feed in the phloem and obstruct the conducting tissue by mechanical damage and growth of weevil-vectored fungi, the new foliage begins to droop and turn colour, first developing a yellowish tint and eventually changing to reddish brown at about the time of pupation. The presence of chip cocoons under the bark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although chip cocoons may persist for many years after they are vacated.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Eggs are bright pearly-white, oval, smooth, on average 0.7 mm long and 0.5 mm wide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look like the eggs of many other species of </w:t>
      </w:r>
      <w:r>
        <w:rPr>
          <w:rFonts w:ascii="Calibri" w:hAnsi="Calibri" w:eastAsia="Calibri" w:cs="Calibri"/>
          <w:i/>
          <w:iCs/>
          <w:color w:val="000000"/>
          <w:sz w:val="22"/>
          <w:szCs w:val="22"/>
        </w:rPr>
        <w:t xml:space="preserve">Pissodes.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Mature larvae are typically 8-9 mm in length (but sometimes smaller), legless, and the abdomen is cylindrical and slightly curved downwards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milky-white body contrasts with the light brown head.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and there is no detailed description of the larval stage to help distinguish them from larvae of native species in the EPPO region.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Pupae are about 7 mm in length, have a beak, and are milk-white for a few days before gradually obtaining brown tones as they mature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Adults have been described in detail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Herein, key morphological characteristics to distinguish this species from the nine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are provided based on unpublished taxonomic studies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by David Langor. Adult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are typically 6-7 mm long although some may be as small as 4 mm. The base colour of both the dorsal and ventral integument is orange brown, except for the tarsi and flagellum of the antennae, which are distinctly and contrastingly black. The integument colour pattern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contrasts with all nine native species in the EPPO region. All native species have a black to brownish black (=piceous) dorsal and ventral integument, and there is no distinct colour contrast along the length of legs and antennae. Although newly emerged and unhardened (i.e., teneral) adults of native European species can resemble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in integument colour, the colour contrasts within the legs and antennae will not be obvious. The patterns of white and orange tan scales on the elytra also have high diagnostic value (e.g., number of bands, colour patterns, presence/absence of anterior band). Each elytron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has one distinct diagonal band of lighter scales at the posterior end, and the band is comprised of white and orange tan scales and extends from interstriae two to eight. The scales extending across interstriae two to five or six are white and form a narrow band, and the scales extending from interstriae five or six to eight are orange tan and this portion of the band is about twice as wide as the white portion. In the anterior part of each elytron is a small posthumeral spot comprised of orange tan scales that covers interstriae four and five. No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has this combination of integument colour and elytron scale pattern.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most commonly attacks pine saplings ranging from 1-8 m in height and up to 8 cm in diameter (Pineda Torres &amp; Guerrero Alarcón 1983). Saplings that are stressed and weakened are most prone to attack, including those in mature stands that are shaded by overstory trees and those that are weakened by competition in densely stocked regenerating stands. Young pine saplings with resin droplets on the current year’s growth and on 1-3 year-old internodes should be investigated for signs of weevil attack such as feeding punctures and presence of adults on the bark. Drooping of recent growth and eventual discoloration of needles to first yellowish and then reddish orange is also a sign of possible infestation, and these saplings should be examined on the lower part of the trunk (especially ground level to about 1 m) for presence of oviposition punctures and adults on the bark surface. Removal of bark on the lower 1-2 m of the trunk of saplings suspected of being infested may reveal larval galleries in the phloem, chip cocoons, pupae, callow adults and/or round adult emergence holes in the bark. There are five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that attack boles of pine trees in the EPPO region and adults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can be distinguished from those species using morphological characters as described above. DNA barcodes are not yet available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disperse by flight and by walking (Pineda Torres &amp; Guerrero Alarcón, 1983), but it is not known how far they can naturally disperse in a season. It is possible that dispersal could be aided by human transport of infested saplings and foliage of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however, there are no records of such transport from Hidalgo, Mexico to the EPPO region. Long-distance transport via lumber, roundwood or dunnage is possible, although there is no evidence that Mexico ships such materials 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is an economically important species in Mexico and has been harvested for pulp, lumber, roundwood and manufactured products. The species is actively managed and there are plentiful plantations of regenerating saplings that are suitable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attacks saplings that are stressed, e.g. by shading and competition, or mechanically damaged by harvesting operations and grazing of cattle. Thus, it functions as a secondary insect rather than as a primary pest. There are no assessments of its economic impact. It may be that </w:t>
      </w:r>
      <w:r>
        <w:rPr>
          <w:rFonts w:ascii="Calibri" w:hAnsi="Calibri" w:eastAsia="Calibri" w:cs="Calibri"/>
          <w:i/>
          <w:iCs/>
          <w:color w:val="000000"/>
          <w:sz w:val="22"/>
          <w:szCs w:val="22"/>
        </w:rPr>
        <w:t xml:space="preserve">P. cibriani </w:t>
      </w:r>
      <w:r>
        <w:rPr>
          <w:rFonts w:ascii="Calibri" w:hAnsi="Calibri" w:eastAsia="Calibri" w:cs="Calibri"/>
          <w:color w:val="000000"/>
          <w:sz w:val="22"/>
          <w:szCs w:val="22"/>
        </w:rPr>
        <w:t xml:space="preserve">could these circumstances have a positive economic impact in that it may sometimes benefit management of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by killing weakened trees in densely stocked regenerating stands. Furthermore, in at least seven countries in Africa, as well as New Zealand and the US state of Hawaii,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is considered invasive and it may be that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could have a value as a biocontrol agent.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tactics have been developed specifically to manage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More care with harvesting operations to minimize damage to unharvested saplings may keep them from being attacked by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Also, damage caused by grazing cattle in pine stands (e.g., root damage by soil compaction) could be averted through appropriate land management. The foliage of infested trees droops and fades before new adults emerge, so in situations where control is deemed necessary, removing and destroying infested trees could be effective as long as it was done before new adults emerged in July for the first generation and in late October to November for the second. It is also necessary that the entire stem, base of large branches and the root collar area are removed and destroyed as these are suitable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breeding.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If this weevil were to be transported to the EPPO region, it is difficult to predict whether it could establish. It has only one known host in its native range even though several other pine species co-occur with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Thus, the apparent monophagous nature of this species likely means it would be more difficult for it to establish without the presence of its native host. The risk of inadvertent introduction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from its native range in Mexico to the EPPO region via transportation on pine logs is likely to be very low as these materials are typically not exported from Mexico to Europe. It would require the transportation of untreated dunnage and infested saplings, seedlings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has been transplanted to many subtropical areas of the world, e.g., 17 countries in Africa, eight countries in South America, Australia, New Zealand, the United States of America (Hawaii) and six countries in Asia, including EPPO member – Turkey (CABI, 2022). This pine species does not do well in cold climates, and it may be that the distribution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is constrained by climate as well as host. There are no known records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establishing in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plantations in any other country.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(IPPC, 2019) will greatly decrease the risk of introduction of bark- and wood-boring insects, including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thoroughly checked for signs and symptoms of non-native species, including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is expected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Invasive species compendium: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(Mexican weeping pine). Available at: </w:t>
      </w:r>
      <w:hyperlink r:id="rId9867676da58e2b4ad" w:history="1">
        <w:r>
          <w:rPr>
            <w:rFonts w:ascii="Calibri" w:hAnsi="Calibri" w:eastAsia="Calibri" w:cs="Calibri"/>
            <w:color w:val="0000CC"/>
            <w:sz w:val="22"/>
            <w:szCs w:val="22"/>
            <w:u w:val="single"/>
          </w:rPr>
          <w:t xml:space="preserve">https://www.cabi.org/isc/datasheet/41682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Cibrián Tovar D, Méndez Montiel JT, Campos Bolaños R, Yates HO, Flores Lara J (1995) Forest insects of Mexico. Universidad Autónoma Chapingo, Chapingo, Mexico, pp. 350-352.</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9065676da58e2b506"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CW (1989) Revision of the weevil genus</w:t>
      </w:r>
      <w:r>
        <w:rPr>
          <w:rFonts w:ascii="Calibri" w:hAnsi="Calibri" w:eastAsia="Calibri" w:cs="Calibri"/>
          <w:i/>
          <w:iCs/>
          <w:color w:val="000000"/>
          <w:sz w:val="22"/>
          <w:szCs w:val="22"/>
        </w:rPr>
        <w:t xml:space="preserve"> Pissodes</w:t>
      </w:r>
      <w:r>
        <w:rPr>
          <w:rFonts w:ascii="Calibri" w:hAnsi="Calibri" w:eastAsia="Calibri" w:cs="Calibri"/>
          <w:color w:val="000000"/>
          <w:sz w:val="22"/>
          <w:szCs w:val="22"/>
        </w:rPr>
        <w:t xml:space="preserve"> in Mexico with notes on Neotropical Pissodini (Coleoptera, Curculionidae).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415-432.</w:t>
      </w:r>
    </w:p>
    <w:p>
      <w:pPr>
        <w:widowControl w:val="on"/>
        <w:pBdr/>
        <w:spacing w:before="220" w:after="220" w:line="240" w:lineRule="auto"/>
        <w:ind w:left="0" w:right="0"/>
        <w:jc w:val="left"/>
      </w:pPr>
      <w:r>
        <w:rPr>
          <w:rFonts w:ascii="Calibri" w:hAnsi="Calibri" w:eastAsia="Calibri" w:cs="Calibri"/>
          <w:color w:val="000000"/>
          <w:sz w:val="22"/>
          <w:szCs w:val="22"/>
        </w:rPr>
        <w:t xml:space="preserve">Pineda Torres MC, Guerrero Alarcón ME (1983) Bionomía de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 sp. (Coleoptera : Curculionidae). Un descortezador de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Schl. Et Cham. Universidad Autónoma de Mexico, Escuela Nacional de Estudios Profesionales “Iztcala”, San Juan Itzacala, Mexico, pp. viii + 92 [Thesis]. Available at: </w:t>
      </w:r>
      <w:hyperlink r:id="rId2998676da58e2b6b3" w:history="1">
        <w:r>
          <w:rPr>
            <w:rFonts w:ascii="Calibri" w:hAnsi="Calibri" w:eastAsia="Calibri" w:cs="Calibri"/>
            <w:color w:val="0000CC"/>
            <w:sz w:val="22"/>
            <w:szCs w:val="22"/>
            <w:u w:val="single"/>
          </w:rPr>
          <w:t xml:space="preserve">http://132.248.9.195/ptd2014/anteriores/microformas/0040056/Index.html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5411676da58e2b79a"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10 September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EPPO datasheets on pests recommended for regulation. Available online. </w:t>
      </w:r>
      <w:hyperlink r:id="rId8268676da58e2b85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3355644" name="name2754676da58e2b8f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632676da58e2b8f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177171">
    <w:multiLevelType w:val="hybridMultilevel"/>
    <w:lvl w:ilvl="0" w:tplc="18786323">
      <w:start w:val="1"/>
      <w:numFmt w:val="decimal"/>
      <w:lvlText w:val="%1."/>
      <w:lvlJc w:val="left"/>
      <w:pPr>
        <w:ind w:left="720" w:hanging="360"/>
      </w:pPr>
    </w:lvl>
    <w:lvl w:ilvl="1" w:tplc="18786323" w:tentative="1">
      <w:start w:val="1"/>
      <w:numFmt w:val="lowerLetter"/>
      <w:lvlText w:val="%2."/>
      <w:lvlJc w:val="left"/>
      <w:pPr>
        <w:ind w:left="1440" w:hanging="360"/>
      </w:pPr>
    </w:lvl>
    <w:lvl w:ilvl="2" w:tplc="18786323" w:tentative="1">
      <w:start w:val="1"/>
      <w:numFmt w:val="lowerRoman"/>
      <w:lvlText w:val="%3."/>
      <w:lvlJc w:val="right"/>
      <w:pPr>
        <w:ind w:left="2160" w:hanging="180"/>
      </w:pPr>
    </w:lvl>
    <w:lvl w:ilvl="3" w:tplc="18786323" w:tentative="1">
      <w:start w:val="1"/>
      <w:numFmt w:val="decimal"/>
      <w:lvlText w:val="%4."/>
      <w:lvlJc w:val="left"/>
      <w:pPr>
        <w:ind w:left="2880" w:hanging="360"/>
      </w:pPr>
    </w:lvl>
    <w:lvl w:ilvl="4" w:tplc="18786323" w:tentative="1">
      <w:start w:val="1"/>
      <w:numFmt w:val="lowerLetter"/>
      <w:lvlText w:val="%5."/>
      <w:lvlJc w:val="left"/>
      <w:pPr>
        <w:ind w:left="3600" w:hanging="360"/>
      </w:pPr>
    </w:lvl>
    <w:lvl w:ilvl="5" w:tplc="18786323" w:tentative="1">
      <w:start w:val="1"/>
      <w:numFmt w:val="lowerRoman"/>
      <w:lvlText w:val="%6."/>
      <w:lvlJc w:val="right"/>
      <w:pPr>
        <w:ind w:left="4320" w:hanging="180"/>
      </w:pPr>
    </w:lvl>
    <w:lvl w:ilvl="6" w:tplc="18786323" w:tentative="1">
      <w:start w:val="1"/>
      <w:numFmt w:val="decimal"/>
      <w:lvlText w:val="%7."/>
      <w:lvlJc w:val="left"/>
      <w:pPr>
        <w:ind w:left="5040" w:hanging="360"/>
      </w:pPr>
    </w:lvl>
    <w:lvl w:ilvl="7" w:tplc="18786323" w:tentative="1">
      <w:start w:val="1"/>
      <w:numFmt w:val="lowerLetter"/>
      <w:lvlText w:val="%8."/>
      <w:lvlJc w:val="left"/>
      <w:pPr>
        <w:ind w:left="5760" w:hanging="360"/>
      </w:pPr>
    </w:lvl>
    <w:lvl w:ilvl="8" w:tplc="18786323" w:tentative="1">
      <w:start w:val="1"/>
      <w:numFmt w:val="lowerRoman"/>
      <w:lvlText w:val="%9."/>
      <w:lvlJc w:val="right"/>
      <w:pPr>
        <w:ind w:left="6480" w:hanging="180"/>
      </w:pPr>
    </w:lvl>
  </w:abstractNum>
  <w:abstractNum w:abstractNumId="42177170">
    <w:multiLevelType w:val="hybridMultilevel"/>
    <w:lvl w:ilvl="0" w:tplc="189895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177170">
    <w:abstractNumId w:val="42177170"/>
  </w:num>
  <w:num w:numId="42177171">
    <w:abstractNumId w:val="421771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3302199" Type="http://schemas.microsoft.com/office/2011/relationships/commentsExtended" Target="commentsExtended.xml"/><Relationship Id="rId922352308" Type="http://schemas.microsoft.com/office/2011/relationships/people" Target="people.xml"/><Relationship Id="rId3108676da58e29265" Type="http://schemas.openxmlformats.org/officeDocument/2006/relationships/hyperlink" Target="https://gd.eppo.int/taxon/PISOCI/" TargetMode="External"/><Relationship Id="rId7176676da58e292aa" Type="http://schemas.openxmlformats.org/officeDocument/2006/relationships/hyperlink" Target="https://gd.eppo.int/taxon/PISOCI/categorization" TargetMode="External"/><Relationship Id="rId9867676da58e2b4ad" Type="http://schemas.openxmlformats.org/officeDocument/2006/relationships/hyperlink" Target="https://www.cabi.org/isc/datasheet/41682" TargetMode="External"/><Relationship Id="rId9065676da58e2b506" Type="http://schemas.openxmlformats.org/officeDocument/2006/relationships/hyperlink" Target="https://www.ippc.int/en/publications/640/" TargetMode="External"/><Relationship Id="rId2998676da58e2b6b3" Type="http://schemas.openxmlformats.org/officeDocument/2006/relationships/hyperlink" Target="http://132.248.9.195/ptd2014/anteriores/microformas/0040056/Index.html" TargetMode="External"/><Relationship Id="rId5411676da58e2b79a" Type="http://schemas.openxmlformats.org/officeDocument/2006/relationships/hyperlink" Target="https://efsa.onlinelibrary.wiley.com/doi/epdf/10.2903/sp.efsa.2020.EN-1910" TargetMode="External"/><Relationship Id="rId8268676da58e2b85c" Type="http://schemas.openxmlformats.org/officeDocument/2006/relationships/hyperlink" Target="https://gd.eppo.int" TargetMode="External"/><Relationship Id="rId3335676da58e2a390" Type="http://schemas.openxmlformats.org/officeDocument/2006/relationships/image" Target="media/imgrId3335676da58e2a390.jpg"/><Relationship Id="rId9632676da58e2b8f7" Type="http://schemas.openxmlformats.org/officeDocument/2006/relationships/image" Target="media/imgrId9632676da58e2b8f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