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nemorensis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nemorensis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Germar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approximatus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canadensis</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deodarae</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deodar weevil, northern pine weevil</w:t>
            </w:r>
            <w:hyperlink r:id="rId4148673fb75b51c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70673fb75b51d0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PISONE</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Subsequent to the original description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1824, three closely related species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were described by Hopkins (1911). Dietrich (1931) synonymized </w:t>
      </w:r>
      <w:r>
        <w:rPr>
          <w:rFonts w:ascii="Calibri" w:hAnsi="Calibri" w:eastAsia="Calibri" w:cs="Calibri"/>
          <w:i/>
          <w:iCs/>
          <w:color w:val="000000"/>
          <w:sz w:val="22"/>
          <w:szCs w:val="22"/>
        </w:rPr>
        <w:t xml:space="preserve">P. deodarae</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based on morphology and biology. Smith (1970) synonymized </w:t>
      </w:r>
      <w:r>
        <w:rPr>
          <w:rFonts w:ascii="Calibri" w:hAnsi="Calibri" w:eastAsia="Calibri" w:cs="Calibri"/>
          <w:i/>
          <w:iCs/>
          <w:color w:val="000000"/>
          <w:sz w:val="22"/>
          <w:szCs w:val="22"/>
        </w:rPr>
        <w:t xml:space="preserve">P. canadensis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based on cytogenetic evidence. Using ecological, behavioural and morphological data,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synonymized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Much information about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is published under the junior synonyms, especially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 species that was inadvertently introduced to South Africa from North America before 1942 was originally thought to be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(Gebeyehu &amp; Wingfield, 2003). However, recent morphological and mitochondrial DNA studies of the species in South Africa show that it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but rather a new closely related species or a hybrid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(Wondafrash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naturally hybridizes with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the field and produces fertile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 Based on mitochondrial DNA characters, there appears to be an undescribed species from Texas that is closely related to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in coniferous trees and has a very wide host range which includes most native and all of the economically important species of pines in the eastern half of the USA and Canada. Occasionally this weevil also breeds in native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as well as in some introduced species of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Blue spruce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and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are western Nearctic species which do not overlap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their natural range but have been attacked when planted in the eastern USA. Three species native to the EPPO region,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Austrian pine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are attacked in eastern North American plantations. A comprehensive list of host plants of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can be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occurs in the eastern half of the USA and Canada. Although previously reported from South Africa, it is now known that this introduced species is not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The records from Far-East Russia undoubtedly represent an error in identification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 does the record from Hokkaido, Japan. Earlier records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ranging across the boreal forest of Saskatchewan, Alberta and British Columbia (Figure 1 in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 the Yukon Territory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are in error and undoubtedly represent misidentifications of the similar bole inhabiting species, </w:t>
      </w:r>
      <w:r>
        <w:rPr>
          <w:rFonts w:ascii="Calibri" w:hAnsi="Calibri" w:eastAsia="Calibri" w:cs="Calibri"/>
          <w:i/>
          <w:iCs/>
          <w:color w:val="000000"/>
          <w:sz w:val="22"/>
          <w:szCs w:val="22"/>
        </w:rPr>
        <w:t xml:space="preserve">Pissodes schwarzi</w:t>
      </w:r>
      <w:r>
        <w:rPr>
          <w:rFonts w:ascii="Calibri" w:hAnsi="Calibri" w:eastAsia="Calibri" w:cs="Calibri"/>
          <w:color w:val="000000"/>
          <w:sz w:val="22"/>
          <w:szCs w:val="22"/>
        </w:rPr>
        <w:t xml:space="preserve">.</w:t>
      </w:r>
    </w:p>
    <w:p>
      <w:r>
        <w:drawing>
          <wp:inline distT="0" distB="0" distL="0" distR="0">
            <wp:extent cx="6120000" cy="3067200"/>
            <wp:docPr id="63382831" name="name5963673fb75b534ca" descr="PISON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E_distribution_map.jpg"/>
                    <pic:cNvPicPr/>
                  </pic:nvPicPr>
                  <pic:blipFill>
                    <a:blip r:embed="rId5121673fb75b534c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New Brunswick, Newfoundland, Nova Scotia, Ontario, Prince Edward Island, Québec), United States of America (Alabama, Arkansas, Connecticut, District of Columbia, Florida, Georgia, Illinois, Indiana, Kentucky, Louisiana, Maine, Maryland, Massachusetts, Michigan, Minnesota, Mississippi, Missouri, New Hampshire, New Jersey, New York, North Carolina, Ohio, Oklahoma, Pennsylvania,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broad north-south distribution in Eastern North America, the life cycle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varies with respect to climate zone. One life cycle, whereby adults disperse in the spring, is typical in the northern part of its range in Ontario (Finnegan, 1958; Martin, 1964), Pennsylvania (Bliss &amp; Kearby, 1970b) and upstate New York (Phillips &amp; Lanier,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 different life cycle, with adult dispersal in the autumn, is typical of the southern part of its range in Georgia and Florida (Fontaine &amp; Foltz, 1982, 1985; Fontaine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Atkinson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1988a, 1988b). These two life cycles occur in populations in Virginia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probably in some adjacent states.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Northern life cycle.</w:t>
      </w:r>
      <w:r>
        <w:rPr>
          <w:rFonts w:ascii="Calibri" w:hAnsi="Calibri" w:eastAsia="Calibri" w:cs="Calibri"/>
          <w:color w:val="000000"/>
          <w:sz w:val="22"/>
          <w:szCs w:val="22"/>
        </w:rPr>
        <w:t xml:space="preserve"> This life cycle is characterized by a spring flight period and overwintering. Overwintering occurs primarily in the adult stage in leaf litter and top-soil overlying roots or in bark crevices of stumps and logs, although a few individuals may overwinter as mature larvae or pupae in trees. Adults emerge from overwintering sites in late April to early May and feed for about three weeks on inner bark of branches and, in the case of seedlings and small trees, also on stems. Adults remain on the bark surface and feed by inserting their snouts through the bark into the phloem layer, making small, inconspicuous feeding punctures 1-2 mm in diameter. In late May, adults disperse by flight to locate suitable host material whereupon the males release an aggregation pheromone consisting of grandisol and grandisal (Phillips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attract both sexes, and mating occurs. The oviposition is mainly from late May until July. Females chew punctures through the bark to the phloem and cambium, usually lay 1-2 eggs, but occasionally as many as five, in each puncture, and plug the punctures with defecated material. Typically adults oviposit in fresh logs and stumps, in boles (trunk from the roots up to the crown) and branches of weakened, standing trees of all sizes (e.g., weakened by transplantation shock, disease and drought), and even in 1- to 2-year-old seedlings. In an insectary females laid an average of 47 (maximum 62) eggs. Eggs hatch in about eight days and young larvae (approximately 1 mm in length) feed in the cambium layer, mining along the grain. When seedlings are attacked, the bark is too thin to accommodate the mature larvae, and larvae bore to the centre of the stem to have room to pupate. Larvae pass through four instars in an average of 36 days. Each mature larva excavates a cavity in the outer wood using their mandibles, lining the walls with small strips of sapwood and phloem, and pupation occurs in this so-called "chip cocoon". The pupal period lasts about two weeks. New callow adults remain in the chip cocoon for about five days as their cuticle hardens, and then chew their way to the outside, making circular emergence holes of about 3-5 mm in diameter. Emergence occurs from mid-August to early October and adults feed before hibernating when temperatures get cold. No mating or oviposition occurs before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proportion of individuals in northern populations have a two year life cycle. As some eggs are laid too late in the season for development to adulthood to be completed before winter, these individuals enter the winter as mature larvae and pupae, completing development the following year. Adults emerge in late June and July but do not reproduce before winter but rather feed until hibernation. They emerge from overwintering sites the following spring to disperse and reproduce at the same time as adults from the one-year life cycle broods.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Southern life cycle. </w:t>
      </w:r>
      <w:r>
        <w:rPr>
          <w:rFonts w:ascii="Calibri" w:hAnsi="Calibri" w:eastAsia="Calibri" w:cs="Calibri"/>
          <w:color w:val="000000"/>
          <w:sz w:val="22"/>
          <w:szCs w:val="22"/>
        </w:rPr>
        <w:t xml:space="preserve">This life cycle is characterized by an autumn dispersal period and no overwintering period of inactivity. In Florida and Georgia, the adult flight period is mainly between September and March and adults are reproductively mature during that period. Mating and oviposition take place from September to February. The oviposition period is long, which results in phenological asynchrony within populations. Females lay an average of 180 eggs (maximum of 284) under laboratory conditions, and they die after an average lifespan of 130 days. The optimal temperature for oviposition is 25°C. The development time from egg to adult depends on date of oviposition and temperature; it ranges from 7 to 25 weeks with a development time of 58 days at a temperature of 25°C. There are five larval instars in Florida. Pupation occurs in chip cocoons and pupae occur mainly from February to April. New adults emerge in late February to early May and spend the summer feeding on new shoots and branches during cool periods of the day. </w:t>
      </w:r>
    </w:p>
    <w:p>
      <w:pPr>
        <w:widowControl w:val="on"/>
        <w:pBdr/>
        <w:spacing w:before="220" w:after="220" w:line="240" w:lineRule="auto"/>
        <w:ind w:left="0" w:right="0"/>
        <w:jc w:val="both"/>
      </w:pPr>
      <w:r>
        <w:rPr>
          <w:rFonts w:ascii="Calibri" w:hAnsi="Calibri" w:eastAsia="Calibri" w:cs="Calibri"/>
          <w:color w:val="000000"/>
          <w:sz w:val="22"/>
          <w:szCs w:val="22"/>
        </w:rPr>
        <w:t xml:space="preserve">For both life cycles, aggregation does not occur until the adults have dispersed to new host material and males release an aggregation pheromone.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breeds mainly in recently cut logs and stumps and also in boles and branches of more than 1.25 cm in diameter of weakened, standing trees. Trees selected for weevil reproduction show signs of stress (e.g., foliage discoloration, resin flow on the bole). The presence of breeding weevils in stumps, logs and trees will be indicated by presence of ovipositing adults on the bark or other life stages under the bark. Nursery plants, outplanted seedlings as young as one year old and young saplings may also be utilized for weevil reproduction and killed by feeding larvae. Plants utilized for weevil reproduction exhibit resin flow from boles and branches, foliage wilting, and foliage discoloration (yellow to reddish brown) within a few days-to-weeks of attack.</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also be damaged by newly emerged adults that are feeding but not engaged in reproduction; these adults feed on the phloem tissue of the twigs and branches of seemingly healthy trees, and this results in copious resin flow from feeding punctures. When the infestation of feeding adults is heavy and stresses the trees, the foliage can become discoloured and needles may drop prematurely (Finnegan, 1956).</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North America,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can attack the same host species and cause the same symptoms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of both species are about the same size but look distinctly different in terms of elytral colour pattern (Martin, 1964) and in other characteristics (Hopkins, 1911).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0.4-0.6 mm wide (Finnegan, 1958),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12 mm long when fully grown (Finnegan, 1958).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the external anatomy of mature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strobi,</w:t>
      </w:r>
      <w:r>
        <w:rPr>
          <w:rFonts w:ascii="Calibri" w:hAnsi="Calibri" w:eastAsia="Calibri" w:cs="Calibri"/>
          <w:i/>
          <w:iCs/>
          <w:color w:val="000000"/>
          <w:sz w:val="22"/>
          <w:szCs w:val="22"/>
        </w:rPr>
        <w:t xml:space="preserve"> 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Keys do not exist to discriminate between larvae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those of the eight species of bole-inhabiting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7-9 mm in length and are milk-white, but the mandibles, eyes, rostrum, prothorax and legs become medium brown before adult emergence (Finnegan, 1958).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rusty brown patches on the elytra, and are 5-8 mm long (Finnegan, 1958). There is no sure way to morphologically discriminate between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another closely related Nearctic species that breeds in boles of pines and spruces,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are distinct from native species in the EPPO region but there is currently no identification key to discriminate among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attacks freshly cut spruce and pine logs and stumps as well as live hosts ranging in age from one year old seedlings to mature trees. The only way to ascertain if cut material has been infested is to look for aggregating adults on the bark surface, adult emergence holes of 3-5 mm diameter in the bark (not unlike bark beetle emergence holes) or by removing bark to look for larvae, pupae, chip cocoons, and callow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standing hosts, ranging from seedlings to mature trees, exhibiting signs of stress, e.g., copious resin on stems and branches, foliage wilting and discolouration, should be investigated for signs of weevil attack such as presence of adults on the bark and all life stages and chip cocoons under the bark. As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can build up quickly in stumps and logs from harvest operations (Finnegan, 1956), standing trees exhibiting signs of stress in the general vicinity of harvest activity should be suspected of weevil infestation.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members of the </w:t>
      </w:r>
      <w:r>
        <w:rPr>
          <w:rFonts w:ascii="Calibri" w:hAnsi="Calibri" w:eastAsia="Calibri" w:cs="Calibri"/>
          <w:i/>
          <w:iCs/>
          <w:color w:val="000000"/>
          <w:sz w:val="22"/>
          <w:szCs w:val="22"/>
        </w:rPr>
        <w:t xml:space="preserve">strobi</w:t>
      </w:r>
      <w:r>
        <w:rPr>
          <w:rFonts w:ascii="Calibri" w:hAnsi="Calibri" w:eastAsia="Calibri" w:cs="Calibri"/>
          <w:color w:val="000000"/>
          <w:sz w:val="22"/>
          <w:szCs w:val="22"/>
        </w:rPr>
        <w:t xml:space="preserve"> species group in North America (Langor &amp; Sperling, 1997), and these are useful for species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could occur via shipment of host commodities: plants for planting, Christmas trees and cut foliage, untreated round wood and wood packaging material (including dunnage), especially if there is bark remaining on wood.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has been intercepted on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(not a known host)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logs at two ports in Japan (Yoshitake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is of little importance in natural, healthy pine and spruce stands due to the low amount of suitable breeding material. However, in Christmas tree plantations, the numerous stumps of trees cut the previous winter are ideal for population build-up. Newly emerged adults feeding on the phloem tissue of the twigs and branches of nearby healthy trees can damage and kill remaining Christmas trees (Overgaard &amp; Nachod, 1971). In a 10-year-old Scots pine plantation in Ontario, feeding adults killed 5% of trees and caused heavy damage to the remainder (Finnegan, 1956). As reforestation and afforestation increases, creating extensive open plantations and weakened trees, the damage caused by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increases. Nursery plants are often badly damaged as adults feed on the bark of seedlings and larvae girdle the stems. Besides the direct damage it causes,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acts as a vector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the causative agent of procerum root disease, the most damaging pest problem for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Christmas tree plantations in Virginia (Nevill &amp; Alexander, 1992a, b). Older trees that are under stress due to drought, disease or transplantation are readily attacked causing mortality (Martin, 1964). In Missouri,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adults were found to carry pinewood nematode, although transmission to trees has not been shown (Linit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Ethanol and turpentine baited flight intercept traps can be used to monitor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populations in plantations but are not suitable for control (Rieske &amp; Raffa, 1993). Removal of breeding material (e.g., fresh stumps and logs) in plantations will greatly reduce the weevil source. Herbicides applied to stumps can control weevil breeding (Ahrens &amp; Dunbar, 1975). For control with pesticides, carbofuran has been reported to be effective in Christmas tree plantations (Appleby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Other chemical insecticides have also proven effective in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control (Bliss &amp; Kearby, 1970a; Dunbar, 1976), but some of these may no longer be registered for such purposes.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natural range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a serious pest, especially in conifer nurseries and in Christmas tree plantations. It includes among its hosts the very important European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also several North American species which are more or less widely planted in Europe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The climatic conditions of eastern North America are broadly similar to those of Europe and should not be an impediment to establishment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the EPPO region if introduced. In North America,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has a broad host range which suggests that other pine, spruce and cedar species in Europe would be susceptible. Introduction of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into the EPPO region could have severe economic and ecological consequences.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wood packaging material (IPPC, 2019) will greatly decrease the risk of introduction of bark- and wood-boring insects, including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Fumigation of wood commodities suspected of being infested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European Union, methyl bromide can only be used in emergency quarantine situations upon receiving special permission from the European Commission. </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phytosanitary measures against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for round wood of hosts (pest free area, or treatment by fumigation, irradiation or debarking associated with heat treatment) and for wood chips, isolated bark and similar commodities (pest free area or heat treatment) (EPPO, 2018). It is also recommended that host plants for planting (except seeds) and cut branches (including Christmas trees) should originate in a pest free area (EPPO, 2018). Pest free place of production is the specific requirement mentioned in the EU regulation for plants for planting and cut branches of hosts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Ahrens JF &amp; Dunbar DM (1975) Are herbicides effective in control of pales and northern pine weevils in Christmas tree plantations? </w:t>
      </w:r>
      <w:r>
        <w:rPr>
          <w:rFonts w:ascii="Calibri" w:hAnsi="Calibri" w:eastAsia="Calibri" w:cs="Calibri"/>
          <w:i/>
          <w:iCs/>
          <w:color w:val="000000"/>
          <w:sz w:val="22"/>
          <w:szCs w:val="22"/>
        </w:rPr>
        <w:t xml:space="preserve">American Christmas Tree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Appleby JE, Miller F &amp; Randell R (1988) Insecticide sprays for control of the northern pine weevil in southern Illinois. </w:t>
      </w:r>
      <w:r>
        <w:rPr>
          <w:rFonts w:ascii="Calibri" w:hAnsi="Calibri" w:eastAsia="Calibri" w:cs="Calibri"/>
          <w:i/>
          <w:iCs/>
          <w:color w:val="000000"/>
          <w:sz w:val="22"/>
          <w:szCs w:val="22"/>
        </w:rPr>
        <w:t xml:space="preserve">Journal of Arboriculture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26-28.</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(1988a) Bionomics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northern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255-261.</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TH, Foltz JL &amp; Connor MD (1988b) Flight patterns of phloem- and wood-boring Coleoptera (Scolytidae, Platypodidae, Curculionidae, Buprestidae, Cerambycidae) in a north Florida slash pine plantation.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(1970a) Evaluation of dieldrin, dimethoate and endosulfan as stump sprays for control of the pales weevil and northern pine weevil in central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Bliss M Jr &amp; Kearby WH (1970b) Notes on the life history of the pales weevil and northern pine weevil in central Pennsylvania.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731-733.</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Dietrich H (1931) Synonymy and notes on the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 attacking </w:t>
      </w:r>
      <w:r>
        <w:rPr>
          <w:rFonts w:ascii="Calibri" w:hAnsi="Calibri" w:eastAsia="Calibri" w:cs="Calibri"/>
          <w:i/>
          <w:iCs/>
          <w:color w:val="000000"/>
          <w:sz w:val="22"/>
          <w:szCs w:val="22"/>
        </w:rPr>
        <w:t xml:space="preserve">Cedrus deodara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872-874.</w:t>
      </w:r>
    </w:p>
    <w:p>
      <w:pPr>
        <w:widowControl w:val="on"/>
        <w:pBdr/>
        <w:spacing w:before="220" w:after="220" w:line="240" w:lineRule="auto"/>
        <w:ind w:left="0" w:right="0"/>
        <w:jc w:val="left"/>
      </w:pPr>
      <w:r>
        <w:rPr>
          <w:rFonts w:ascii="Calibri" w:hAnsi="Calibri" w:eastAsia="Calibri" w:cs="Calibri"/>
          <w:color w:val="000000"/>
          <w:sz w:val="22"/>
          <w:szCs w:val="22"/>
        </w:rPr>
        <w:t xml:space="preserve">Dunbar DM (1976) More on the control of pales and northern pine weevils in white pine stumps. </w:t>
      </w:r>
      <w:r>
        <w:rPr>
          <w:rFonts w:ascii="Calibri" w:hAnsi="Calibri" w:eastAsia="Calibri" w:cs="Calibri"/>
          <w:i/>
          <w:iCs/>
          <w:color w:val="000000"/>
          <w:sz w:val="22"/>
          <w:szCs w:val="22"/>
        </w:rPr>
        <w:t xml:space="preserve">American Christmas Tree Journal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2947673fb75b54765"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Evans D, Lowe DP &amp; Hunt RS (1978) Annotated checklist of forest insects and diseases of the Yukon Territory</w:t>
      </w:r>
      <w:r>
        <w:rPr>
          <w:rFonts w:ascii="Calibri" w:hAnsi="Calibri" w:eastAsia="Calibri" w:cs="Calibri"/>
          <w:i/>
          <w:iCs/>
          <w:color w:val="000000"/>
          <w:sz w:val="22"/>
          <w:szCs w:val="22"/>
        </w:rPr>
        <w:t xml:space="preserve">. Information Report BC-X-169</w:t>
      </w:r>
      <w:r>
        <w:rPr>
          <w:rFonts w:ascii="Calibri" w:hAnsi="Calibri" w:eastAsia="Calibri" w:cs="Calibri"/>
          <w:color w:val="000000"/>
          <w:sz w:val="22"/>
          <w:szCs w:val="22"/>
        </w:rPr>
        <w:t xml:space="preserve">. Canadian Forest Service, Pacific Forest Research Station, Victoria, BC.</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RK (1956) Weevils attacking pines in southern Ontario. Canadian Department of Agriculture, Forest Biology Division, </w:t>
      </w:r>
      <w:r>
        <w:rPr>
          <w:rFonts w:ascii="Calibri" w:hAnsi="Calibri" w:eastAsia="Calibri" w:cs="Calibri"/>
          <w:i/>
          <w:iCs/>
          <w:color w:val="000000"/>
          <w:sz w:val="22"/>
          <w:szCs w:val="22"/>
        </w:rPr>
        <w:t xml:space="preserve">Bimonthly Progress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w:t>
      </w:r>
    </w:p>
    <w:p>
      <w:pPr>
        <w:widowControl w:val="on"/>
        <w:pBdr/>
        <w:spacing w:before="220" w:after="220" w:line="240" w:lineRule="auto"/>
        <w:ind w:left="0" w:right="0"/>
        <w:jc w:val="left"/>
      </w:pPr>
      <w:r>
        <w:rPr>
          <w:rFonts w:ascii="Calibri" w:hAnsi="Calibri" w:eastAsia="Calibri" w:cs="Calibri"/>
          <w:color w:val="000000"/>
          <w:sz w:val="22"/>
          <w:szCs w:val="22"/>
        </w:rPr>
        <w:t xml:space="preserve">Finnegan RJ (1958) The pine weevil </w:t>
      </w:r>
      <w:r>
        <w:rPr>
          <w:rFonts w:ascii="Calibri" w:hAnsi="Calibri" w:eastAsia="Calibri" w:cs="Calibri"/>
          <w:i/>
          <w:iCs/>
          <w:color w:val="000000"/>
          <w:sz w:val="22"/>
          <w:szCs w:val="22"/>
        </w:rPr>
        <w:t xml:space="preserve">Pissodes approximatus</w:t>
      </w:r>
      <w:r>
        <w:rPr>
          <w:rFonts w:ascii="Calibri" w:hAnsi="Calibri" w:eastAsia="Calibri" w:cs="Calibri"/>
          <w:color w:val="000000"/>
          <w:sz w:val="22"/>
          <w:szCs w:val="22"/>
        </w:rPr>
        <w:t xml:space="preserve"> in southern Ontario.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348-354.</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Foltz JL &amp; Nation JL (1983) Reproductive anatomy and seasonal development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in north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687-691.</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(1982) Field studies of a male-released aggregation pheromone in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881-883.</w:t>
      </w:r>
    </w:p>
    <w:p>
      <w:pPr>
        <w:widowControl w:val="on"/>
        <w:pBdr/>
        <w:spacing w:before="220" w:after="220" w:line="240" w:lineRule="auto"/>
        <w:ind w:left="0" w:right="0"/>
        <w:jc w:val="left"/>
      </w:pPr>
      <w:r>
        <w:rPr>
          <w:rFonts w:ascii="Calibri" w:hAnsi="Calibri" w:eastAsia="Calibri" w:cs="Calibri"/>
          <w:color w:val="000000"/>
          <w:sz w:val="22"/>
          <w:szCs w:val="22"/>
        </w:rPr>
        <w:t xml:space="preserve">Fontaine MS &amp; Foltz JL (1985) Adult survivorship, fecundity, and factors affecting laboratory oviposition of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1575-1578.</w:t>
      </w:r>
    </w:p>
    <w:p>
      <w:pPr>
        <w:widowControl w:val="on"/>
        <w:pBdr/>
        <w:spacing w:before="220" w:after="220" w:line="240" w:lineRule="auto"/>
        <w:ind w:left="0" w:right="0"/>
        <w:jc w:val="left"/>
      </w:pPr>
      <w:r>
        <w:rPr>
          <w:rFonts w:ascii="Calibri" w:hAnsi="Calibri" w:eastAsia="Calibri" w:cs="Calibri"/>
          <w:color w:val="000000"/>
          <w:sz w:val="22"/>
          <w:szCs w:val="22"/>
        </w:rPr>
        <w:t xml:space="preserve">Gebeyehu S &amp; Wingfield MJ (2003) Pine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threat to South African pine plantations and options for control.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20.</w:t>
      </w:r>
      <w:r>
        <w:rPr>
          <w:rFonts w:ascii="Calibri" w:hAnsi="Calibri" w:eastAsia="Calibri" w:cs="Calibri"/>
          <w:color w:val="000000"/>
          <w:sz w:val="22"/>
          <w:szCs w:val="22"/>
        </w:rPr>
        <w:t xml:space="preserve"> United States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8664673fb75b54b10"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Kondo E &amp; Smith MT (1983) Insects associated with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467-470.</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&amp;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JL (1964) The insect ecology of red pine plantations in central Ontario. II. Life history and control of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1408-1417</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&amp;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&amp;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(1992a) Transmission of </w:t>
      </w:r>
      <w:r>
        <w:rPr>
          <w:rFonts w:ascii="Calibri" w:hAnsi="Calibri" w:eastAsia="Calibri" w:cs="Calibri"/>
          <w:i/>
          <w:iCs/>
          <w:color w:val="000000"/>
          <w:sz w:val="22"/>
          <w:szCs w:val="22"/>
        </w:rPr>
        <w:t xml:space="preserve">Leptographium procerum</w:t>
      </w:r>
      <w:r>
        <w:rPr>
          <w:rFonts w:ascii="Calibri" w:hAnsi="Calibri" w:eastAsia="Calibri" w:cs="Calibri"/>
          <w:color w:val="000000"/>
          <w:sz w:val="22"/>
          <w:szCs w:val="22"/>
        </w:rPr>
        <w:t xml:space="preserve"> to eastern white pine by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307-310.</w:t>
      </w:r>
    </w:p>
    <w:p>
      <w:pPr>
        <w:widowControl w:val="on"/>
        <w:pBdr/>
        <w:spacing w:before="220" w:after="220" w:line="240" w:lineRule="auto"/>
        <w:ind w:left="0" w:right="0"/>
        <w:jc w:val="left"/>
      </w:pPr>
      <w:r>
        <w:rPr>
          <w:rFonts w:ascii="Calibri" w:hAnsi="Calibri" w:eastAsia="Calibri" w:cs="Calibri"/>
          <w:color w:val="000000"/>
          <w:sz w:val="22"/>
          <w:szCs w:val="22"/>
        </w:rPr>
        <w:t xml:space="preserve">Nevill RJ &amp; Alexander SA (1992b) Distribution of </w:t>
      </w:r>
      <w:r>
        <w:rPr>
          <w:rFonts w:ascii="Calibri" w:hAnsi="Calibri" w:eastAsia="Calibri" w:cs="Calibri"/>
          <w:i/>
          <w:iCs/>
          <w:color w:val="000000"/>
          <w:sz w:val="22"/>
          <w:szCs w:val="22"/>
        </w:rPr>
        <w:t xml:space="preserve">Hylobius pales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within Christmas tree plantations with procerum root disease.</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1077-1085.</w:t>
      </w:r>
    </w:p>
    <w:p>
      <w:pPr>
        <w:widowControl w:val="on"/>
        <w:pBdr/>
        <w:spacing w:before="220" w:after="220" w:line="240" w:lineRule="auto"/>
        <w:ind w:left="0" w:right="0"/>
        <w:jc w:val="left"/>
      </w:pPr>
      <w:r>
        <w:rPr>
          <w:rFonts w:ascii="Calibri" w:hAnsi="Calibri" w:eastAsia="Calibri" w:cs="Calibri"/>
          <w:color w:val="000000"/>
          <w:sz w:val="22"/>
          <w:szCs w:val="22"/>
        </w:rPr>
        <w:t xml:space="preserve">Overgaard NA &amp; Nachod LH (1971) Deodar weevil causes pine mortality in Louisiana.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1329-1330.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Teale SA &amp; Lanier GN (1987)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seasonality, morphology and synonymy of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465-480.</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West JR, Foltz JL, Silverstein RM &amp; Lanier GN (1984) Aggregation pheromone of the deodar weevil,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(Coleoptera: Curculionidae): isolation and activity of grandisol and grandisal.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1417-1423.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w:t>
      </w:r>
      <w:r>
        <w:rPr>
          <w:rFonts w:ascii="Calibri" w:hAnsi="Calibri" w:eastAsia="Calibri" w:cs="Calibri"/>
          <w:i/>
          <w:iCs/>
          <w:color w:val="000000"/>
          <w:sz w:val="22"/>
          <w:szCs w:val="22"/>
        </w:rPr>
        <w:t xml:space="preserve"> 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(1970) Chromosomal polymorphism in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structural isomerism. </w:t>
      </w:r>
      <w:r>
        <w:rPr>
          <w:rFonts w:ascii="Calibri" w:hAnsi="Calibri" w:eastAsia="Calibri" w:cs="Calibri"/>
          <w:i/>
          <w:iCs/>
          <w:color w:val="000000"/>
          <w:sz w:val="22"/>
          <w:szCs w:val="22"/>
        </w:rPr>
        <w:t xml:space="preserve">Canadian Journal of Genetics and Cytology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506-540.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&amp;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b/>
          <w:bCs/>
          <w:color w:val="000000"/>
          <w:sz w:val="22"/>
          <w:szCs w:val="22"/>
        </w:rPr>
        <w:t xml:space="preserve"> 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Wondafrash M, Slippers B, Garnas JR, Roux G, Foit J, Langor DW &amp; Hurley BP (2016) Identification and genetic diversity of two invasive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Germar (Coleoptera: Curculionidae) in their introduced range in the southern hemisphere.</w:t>
      </w:r>
      <w:r>
        <w:rPr>
          <w:rFonts w:ascii="Calibri" w:hAnsi="Calibri" w:eastAsia="Calibri" w:cs="Calibri"/>
          <w:i/>
          <w:iCs/>
          <w:color w:val="000000"/>
          <w:sz w:val="22"/>
          <w:szCs w:val="22"/>
        </w:rPr>
        <w:t xml:space="preserve"> Biological Invasions</w:t>
      </w:r>
      <w:r>
        <w:rPr>
          <w:rFonts w:ascii="Calibri" w:hAnsi="Calibri" w:eastAsia="Calibri" w:cs="Calibri"/>
          <w:b/>
          <w:bCs/>
          <w:color w:val="000000"/>
          <w:sz w:val="22"/>
          <w:szCs w:val="22"/>
        </w:rPr>
        <w:t xml:space="preserve"> 18</w:t>
      </w:r>
      <w:r>
        <w:rPr>
          <w:rFonts w:ascii="Calibri" w:hAnsi="Calibri" w:eastAsia="Calibri" w:cs="Calibri"/>
          <w:color w:val="000000"/>
          <w:sz w:val="22"/>
          <w:szCs w:val="22"/>
        </w:rPr>
        <w:t xml:space="preserve">, 2283-2297.</w:t>
      </w:r>
    </w:p>
    <w:p>
      <w:pPr>
        <w:widowControl w:val="on"/>
        <w:pBdr/>
        <w:spacing w:before="220" w:after="220" w:line="240" w:lineRule="auto"/>
        <w:ind w:left="0" w:right="0"/>
        <w:jc w:val="left"/>
      </w:pPr>
      <w:r>
        <w:rPr>
          <w:rFonts w:ascii="Calibri" w:hAnsi="Calibri" w:eastAsia="Calibri" w:cs="Calibri"/>
          <w:color w:val="000000"/>
          <w:sz w:val="22"/>
          <w:szCs w:val="22"/>
        </w:rPr>
        <w:t xml:space="preserve">Yoshitake H, Anderson RS &amp; Genka M (2014) A list of New World weevils (Coleoptera: Curculionidae) intercepted at the Kobe Plant Protection Station, Japan.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628-630.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Pissodes nemorensis</w:t>
      </w:r>
      <w:r>
        <w:rPr>
          <w:rFonts w:ascii="Calibri" w:hAnsi="Calibri" w:eastAsia="Calibri" w:cs="Calibri"/>
          <w:color w:val="000000"/>
          <w:sz w:val="22"/>
          <w:szCs w:val="22"/>
        </w:rPr>
        <w:t xml:space="preserve">. EPPO datasheets on pests recommended for regulation. Available online. </w:t>
      </w:r>
      <w:hyperlink r:id="rId3100673fb75b5558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3253673fb75b556ed"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57407485" name="name3441673fb75b55bf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780673fb75b55bf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234462">
    <w:multiLevelType w:val="hybridMultilevel"/>
    <w:lvl w:ilvl="0" w:tplc="56250783">
      <w:start w:val="1"/>
      <w:numFmt w:val="decimal"/>
      <w:lvlText w:val="%1."/>
      <w:lvlJc w:val="left"/>
      <w:pPr>
        <w:ind w:left="720" w:hanging="360"/>
      </w:pPr>
    </w:lvl>
    <w:lvl w:ilvl="1" w:tplc="56250783" w:tentative="1">
      <w:start w:val="1"/>
      <w:numFmt w:val="lowerLetter"/>
      <w:lvlText w:val="%2."/>
      <w:lvlJc w:val="left"/>
      <w:pPr>
        <w:ind w:left="1440" w:hanging="360"/>
      </w:pPr>
    </w:lvl>
    <w:lvl w:ilvl="2" w:tplc="56250783" w:tentative="1">
      <w:start w:val="1"/>
      <w:numFmt w:val="lowerRoman"/>
      <w:lvlText w:val="%3."/>
      <w:lvlJc w:val="right"/>
      <w:pPr>
        <w:ind w:left="2160" w:hanging="180"/>
      </w:pPr>
    </w:lvl>
    <w:lvl w:ilvl="3" w:tplc="56250783" w:tentative="1">
      <w:start w:val="1"/>
      <w:numFmt w:val="decimal"/>
      <w:lvlText w:val="%4."/>
      <w:lvlJc w:val="left"/>
      <w:pPr>
        <w:ind w:left="2880" w:hanging="360"/>
      </w:pPr>
    </w:lvl>
    <w:lvl w:ilvl="4" w:tplc="56250783" w:tentative="1">
      <w:start w:val="1"/>
      <w:numFmt w:val="lowerLetter"/>
      <w:lvlText w:val="%5."/>
      <w:lvlJc w:val="left"/>
      <w:pPr>
        <w:ind w:left="3600" w:hanging="360"/>
      </w:pPr>
    </w:lvl>
    <w:lvl w:ilvl="5" w:tplc="56250783" w:tentative="1">
      <w:start w:val="1"/>
      <w:numFmt w:val="lowerRoman"/>
      <w:lvlText w:val="%6."/>
      <w:lvlJc w:val="right"/>
      <w:pPr>
        <w:ind w:left="4320" w:hanging="180"/>
      </w:pPr>
    </w:lvl>
    <w:lvl w:ilvl="6" w:tplc="56250783" w:tentative="1">
      <w:start w:val="1"/>
      <w:numFmt w:val="decimal"/>
      <w:lvlText w:val="%7."/>
      <w:lvlJc w:val="left"/>
      <w:pPr>
        <w:ind w:left="5040" w:hanging="360"/>
      </w:pPr>
    </w:lvl>
    <w:lvl w:ilvl="7" w:tplc="56250783" w:tentative="1">
      <w:start w:val="1"/>
      <w:numFmt w:val="lowerLetter"/>
      <w:lvlText w:val="%8."/>
      <w:lvlJc w:val="left"/>
      <w:pPr>
        <w:ind w:left="5760" w:hanging="360"/>
      </w:pPr>
    </w:lvl>
    <w:lvl w:ilvl="8" w:tplc="56250783" w:tentative="1">
      <w:start w:val="1"/>
      <w:numFmt w:val="lowerRoman"/>
      <w:lvlText w:val="%9."/>
      <w:lvlJc w:val="right"/>
      <w:pPr>
        <w:ind w:left="6480" w:hanging="180"/>
      </w:pPr>
    </w:lvl>
  </w:abstractNum>
  <w:abstractNum w:abstractNumId="73234461">
    <w:multiLevelType w:val="hybridMultilevel"/>
    <w:lvl w:ilvl="0" w:tplc="450436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234461">
    <w:abstractNumId w:val="73234461"/>
  </w:num>
  <w:num w:numId="73234462">
    <w:abstractNumId w:val="732344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4633165" Type="http://schemas.microsoft.com/office/2011/relationships/commentsExtended" Target="commentsExtended.xml"/><Relationship Id="rId782470500" Type="http://schemas.microsoft.com/office/2011/relationships/people" Target="people.xml"/><Relationship Id="rId4148673fb75b51ca3" Type="http://schemas.openxmlformats.org/officeDocument/2006/relationships/hyperlink" Target="https://gd.eppo.int/taxon/PISONE/" TargetMode="External"/><Relationship Id="rId4370673fb75b51d0a" Type="http://schemas.openxmlformats.org/officeDocument/2006/relationships/hyperlink" Target="https://gd.eppo.int/taxon/PISONE/categorization" TargetMode="External"/><Relationship Id="rId2947673fb75b54765" Type="http://schemas.openxmlformats.org/officeDocument/2006/relationships/hyperlink" Target="https://eur-lex.europa.eu/legal-content/EN/TXT/?uri=CELEX%3A32019R2072" TargetMode="External"/><Relationship Id="rId8664673fb75b54b10" Type="http://schemas.openxmlformats.org/officeDocument/2006/relationships/hyperlink" Target="https://www.ippc.int/en/publications/640/" TargetMode="External"/><Relationship Id="rId3100673fb75b55580" Type="http://schemas.openxmlformats.org/officeDocument/2006/relationships/hyperlink" Target="https://gd.eppo.int" TargetMode="External"/><Relationship Id="rId3253673fb75b556ed" Type="http://schemas.openxmlformats.org/officeDocument/2006/relationships/hyperlink" Target="https://doi.org/10.1111/j.1365-2338.1980.tb02698.x" TargetMode="External"/><Relationship Id="rId5121673fb75b534c7" Type="http://schemas.openxmlformats.org/officeDocument/2006/relationships/image" Target="media/imgrId5121673fb75b534c7.jpg"/><Relationship Id="rId5780673fb75b55bfd" Type="http://schemas.openxmlformats.org/officeDocument/2006/relationships/image" Target="media/imgrId5780673fb75b55bf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