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strobi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strobi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engelmanni</w:t>
            </w:r>
            <w:r>
              <w:rPr>
                <w:rFonts w:ascii="Calibri" w:hAnsi="Calibri" w:eastAsia="Calibri" w:cs="Calibri"/>
                <w:color w:val="000000"/>
                <w:position w:val="-3"/>
                <w:sz w:val="22"/>
                <w:szCs w:val="22"/>
              </w:rPr>
              <w:t xml:space="preserve"> Hopkins, </w:t>
            </w:r>
            <w:r>
              <w:rPr>
                <w:rFonts w:ascii="Calibri" w:hAnsi="Calibri" w:eastAsia="Calibri" w:cs="Calibri"/>
                <w:i/>
                <w:iCs/>
                <w:color w:val="000000"/>
                <w:position w:val="-3"/>
                <w:sz w:val="22"/>
                <w:szCs w:val="22"/>
              </w:rPr>
              <w:t xml:space="preserve">Pissodes sitchensis</w:t>
            </w:r>
            <w:r>
              <w:rPr>
                <w:rFonts w:ascii="Calibri" w:hAnsi="Calibri" w:eastAsia="Calibri" w:cs="Calibri"/>
                <w:color w:val="000000"/>
                <w:position w:val="-3"/>
                <w:sz w:val="22"/>
                <w:szCs w:val="22"/>
              </w:rPr>
              <w:t xml:space="preserve"> Hopkins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Engelmann-spruce weevil, Sitka-spruce weevil, white-pine weevil</w:t>
            </w:r>
            <w:hyperlink r:id="rId38256803ceff562c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3476803ceff5633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937859" name="name73746803ceff56e22" descr="14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75.jpg"/>
                          <pic:cNvPicPr/>
                        </pic:nvPicPr>
                        <pic:blipFill>
                          <a:blip r:embed="rId22786803ceff56e1f" cstate="print"/>
                          <a:stretch>
                            <a:fillRect/>
                          </a:stretch>
                        </pic:blipFill>
                        <pic:spPr>
                          <a:xfrm>
                            <a:off x="0" y="0"/>
                            <a:ext cx="2160000" cy="1281600"/>
                          </a:xfrm>
                          <a:prstGeom prst="rect">
                            <a:avLst/>
                          </a:prstGeom>
                          <a:ln w="0">
                            <a:noFill/>
                          </a:ln>
                        </pic:spPr>
                      </pic:pic>
                    </a:graphicData>
                  </a:graphic>
                </wp:inline>
              </w:drawing>
            </w:r>
            <w:hyperlink r:id="rId53526803ceff56f7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Much information about this species is published under the junior synonyms </w:t>
      </w:r>
      <w:r>
        <w:rPr>
          <w:rFonts w:ascii="Calibri" w:hAnsi="Calibri" w:eastAsia="Calibri" w:cs="Calibri"/>
          <w:i/>
          <w:iCs/>
          <w:color w:val="000000"/>
          <w:sz w:val="22"/>
          <w:szCs w:val="22"/>
        </w:rPr>
        <w:t xml:space="preserve">P. engelmanni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known to naturally hybridize with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in eastern North America and produce viable offspring (Boyce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but it is not known how commonly this happens.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confined to coniferous trees and almost exclusively infests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throughout its range. It attacks mainly Sitka spruce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along the Pacific coast of North America, Engelmann spruce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and their hybrids in British Columbia and Pacific Northwest states, white spruce in the Canadian Prairie Provinces and US Great Plains,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in the eastern half of Canada, and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Eastern Canada and North-Eastern USA.Many other native pines and spruces also serve as hosts.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also readily attacks and successfully breeds in several tree species native to the EPPO region that are planted in North America. Norway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commonly infested in Eastern Canada and is even preferred for oviposition over the native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(Hamel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 Vancouver Island, the European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proved as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as the native Sitka spruce (Hulme &amp; Dawson, 1992).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is also readily colonized in North American plantations (Khalil, 1969; Klein, 1971). A comprehensive list of host plants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found in Smith &amp; Sugden (1969).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balfouriana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flexilis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has a large distribution in North America ranging from Alaska and the southern part of Northwest Territories south to California, Arizona and New Mexico, across the entirety of Canada (except for Newfoundland and Labrador) and adjacent states, and throughout the North-Eastern USA as far south as Georgia and Tennessee. Old records from Mexico and Newfoundland are incorrect.</w:t>
      </w:r>
    </w:p>
    <w:p>
      <w:r>
        <w:drawing>
          <wp:inline distT="0" distB="0" distL="0" distR="0">
            <wp:extent cx="6120000" cy="3067200"/>
            <wp:docPr id="13968419" name="name90026803ceff58422" descr="PISO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ST_distribution_map.jpg"/>
                    <pic:cNvPicPr/>
                  </pic:nvPicPr>
                  <pic:blipFill>
                    <a:blip r:embed="rId19216803ceff5841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Northwest Territories, Nova Scotia, Ontario, Prince Edward Island, Québec, Saskatchewan), United States of America (Alaska, Arizona, California, Colorado, Connecticut, Delaware, Georgia, Idaho, Illinois, Indiana, Iowa, Maine, Maryland, Massachusetts, Michigan, Minnesota, Montana, New Hampshire, New Jersey, New Mexico, New York, North Carolina, North Dakota, Ohio, Oregon, Pennsylvania, Rhode Island, South Carolina, Tennessee,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well documented (e.g., Alfaro, 1994; Hamid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these publications are the main sources utilized for this summary. Adults overwinter in the leaf litter. They leave their hibernation sites in March to late April and walk or fly to host trees where they feed on the previous year’s terminal leader (referred to as ‘terminal’ from here on). There can be more than one terminal on a tree and 1-3 of these can be attacked in the same year. It is not known how far adults can disperse in a season, but they probably travel only far enough to find suitable hosts, which is typically tens to hundreds of metres in forests where there has been harvesting activity and thus where there are plentiful young, regenerating trees. Adults tend to select host trees with the longest and thickest terminal leaders, and these are usually open growing individuals. Adults feed on the inner bark and cambium, chewing a hole of about 1.0-1.5 mm in diameter through the bark to reach these tissues. Feeding is usually concentrated in the apical half of the previous year’s terminal, but can extend over its entirety when weevil populations are high. Adult feeding activity is influenced by chemical stimulants in the bark (Alfaro &amp; Borden, 1985). During feeding, males produce an aggregation pheromone consisting of grandisol and grandisal (Booth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Mating occurs on the terminal. A few days after the start of adult feeding, oviposition commences whereby eggs are laid in some of the feeding punctures, which are then termed oviposition punctures. Oviposition punctures are capped with a dark brown plug of excrement but punctures made only for feeding are not. In areas where there are very high weevil populations, oviposition can occur on the stem just below the emergence holes of the previous year, and larval feeding continues down the stem destroying additional years of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Typically one egg, but occasionally as many as four, are laid in each oviposition puncture. Adults usually remain on trees between late March and July. Air temperatures of at least 8°C are required for adult activity, and activity stops above 35°C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eastern white pine, females lay an average of 132 eggs (range 40-344) in the laboratory when supplied with unlimited host material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Most females oviposit in more than one terminal and most terminals contain eggs from more than one female. Many eggs and newly hatched larvae can be inundated with resin and killed. When eggs hatch, young larvae commence feeding in the phloem, moving downward in the terminal. Eventually feeding galleries coalesce forming feeding groups, and groups eventually join together to form a feeding ring that spans the circumference of the terminal, effectively girdling it. Larvae that hatch first and become part of the feeding ring tend to be most successful. Late hatching larvae and those that lag behind the feeding ring find little to eat and die of starvation, or are killed by insect predators under the bark. Larvae first feed in the phloem and as they grow they can also feed on the cambium and even outer wood. There are four larval instars, and third and fourth instars are attacked by hymenopterous parasitoids. Feeding continues for 5-6 weeks, and by late May pupae start to appear. Mature larvae excavate chambers in the outer wood, which can even reach the pith in thin terminals. Larvae chew off small shreds of wood which they use to line the walls of the so called ‘chip cocoon’, and pupate within.</w:t>
      </w:r>
    </w:p>
    <w:p>
      <w:pPr>
        <w:widowControl w:val="on"/>
        <w:pBdr/>
        <w:spacing w:before="220" w:after="220" w:line="240" w:lineRule="auto"/>
        <w:ind w:left="0" w:right="0"/>
        <w:jc w:val="both"/>
      </w:pPr>
      <w:r>
        <w:rPr>
          <w:rFonts w:ascii="Calibri" w:hAnsi="Calibri" w:eastAsia="Calibri" w:cs="Calibri"/>
          <w:color w:val="000000"/>
          <w:sz w:val="22"/>
          <w:szCs w:val="22"/>
        </w:rPr>
        <w:t xml:space="preserve">Pupation lasts 2-3 weeks and new callow adults remain in their chip cocoons for two weeks as their cuticle hardens. The adult emergence period extends from mid-July to late August or even to September in some cooler environments. Hardened adults chew round holes of 3-4 mm diameter through the bark to emerge. They then feed on buds and phloem of side branches and the stem for a few weeks. During this period mating can occur but there is a reproductive diapause. As temperatures decline in early autumn, new adults (and presumably surviving adults from the previous generation) move to the leaf litter to overwinter. Adults typically live only until autumn or winter, but a few can survive winter and live for an additional 1-3 years.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variation in phenology. In areas with cooler climates (e.g., higher latitudes and altitudes), some individuals may overwinter in the terminals as large larvae, pupae or callow 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occurs in relatively small numbers in natural, undisturbed mature conifer forests where they breed in young trees in open areas around edges of stands and in forest gaps caused by blowdown or disease. Populations may build up somewhat in young regenerating stands resulting from wildfire; however, the typical high stem density and presence of overtopping vegetation (e.g., hardwood trees) prevents devastating outbreaks. Industrial forest activities resulting in the creation of large expanses of young and open conifer plantations, many of them managed to eliminate competing vegetation, has been an advantage for this weevil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coastal Sitka spruce stands of British Columbia and Oregon, plantations start being attacked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by the time they are only five years old (Alfaro &amp; Omule, 1990; Mitchell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Initially only a few trees are attacked but then populations can grow exponentially for 8-10 years. After this period of increase the rate of attack stabilizes at a high level (30-40%), with interannual fluctuations, for 10-20 years. This phase of stability represents an equilibrium between the weevil population level and food supply (i.e., number of leaders available for colonization). This phase of stability eventually gives way to a population decline phase when the plantation is 35-40 years old, when annual rate of attack declines, eventually to about 5%. At this point the growth rate of trees has declined, affecting quality of food supply, and the canopy has started to close, probably adversely affecting environmental conditions for the weevil. A similar epidemiological pattern has been observed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white spruce in the boreal forest of Alberta.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summarised in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 trees 0.5–9.0 m tall, but typically 1.5–8.0 m tall. The first signs of attack are visible in early spring on the previous year’s terminal growth of spruces and pines, often before all snow has melted from the ground. Beads of resin ooze from feeding punctures and the glistening resin is visible from up to 15 m away on sunny days. Upon close examination of terminal leaders, feeding punctures (1.0-1.5 mm diameter) are visible, particularly on the apical half of the previous year’s growth. The feeding of larvae eventually girdles the 2-year-old stem, killing it and the current year’s growth above it, causing the affected foliage to wilt, forming a shepherd’s crook, and fade to yellow or yellow-brown (in spruces) and yellow to rusty-red (in pines) by June. Dissection of discoloured terminals will reveal the presence of larvae, pupae, adults and/or empty chip cocoons in the bark or outer sapwood of the previous year’s terminal; however, as the larvae feed downward in the terminal, it is not uncommon for more than one and up to four years of terminal growth to be infested in one season. After adults emerge, they create circular emergence holes of 3-4 mm diameter in the bark. Dead terminals can remain on trees for many years (even decades) after beetles have emerged, and the presence on these of old adult feeding and oviposition punctures, larval feeding damage to phloem, chip cocoons in the outer wood and adult emergence holes can be used to identify old attacks. When the terminal leader dies, the main stem usually develops a major crook or fork, but these usually straighten out after 2-3 years if the stem is not attacked again. It is common for the same tree to be attacked in successive years with adults feeding and laying eggs in the stem just below the adult emergence holes of the previous generation. Trees attacked in successive years have a bushy appearance and deformed stems.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may be confused with those caused by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as both species attack the tops of trees and cause the terminal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(i.e., the western half of North America from southern parts of both Yukon and Northwest Territories south to Colorado and California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However, it is possible to distinguish these two species even as early as during feeding and oviposition as: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terminal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with most punctures on the upper half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mainly in the phloem and outer wood of the previous year’s terminal (or even further down the stem)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examination of mature larvae or adults is necessary for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0.7-0.9 mm long and 0.4-0.5 mm wide (Plummer &amp; Pillsbury, 1929),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about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well as those of the closely related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schwarzi</w:t>
      </w:r>
      <w:r>
        <w:rPr>
          <w:rFonts w:ascii="Calibri" w:hAnsi="Calibri" w:eastAsia="Calibri" w:cs="Calibri"/>
          <w:color w:val="000000"/>
          <w:sz w:val="22"/>
          <w:szCs w:val="22"/>
        </w:rPr>
        <w:t xml:space="preserve">, accompanied by illustrations, are provided by Williams &amp; Langor (2002a). Detailed descriptions mature larvae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6-8 mm in length and are milk-white, but the mandibles, eyes, rostrum, prothorax and legs become medium brown before adult emergence (Plummer &amp; Pillsbury, 1929).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5-8 mm long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There is no easy way to discriminate between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distinct from native species in the EPPO region and from the terminal-infesting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morphology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is also similar to that of another Nearctic species, </w:t>
      </w:r>
      <w:r>
        <w:rPr>
          <w:rFonts w:ascii="Calibri" w:hAnsi="Calibri" w:eastAsia="Calibri" w:cs="Calibri"/>
          <w:i/>
          <w:iCs/>
          <w:color w:val="000000"/>
          <w:sz w:val="22"/>
          <w:szCs w:val="22"/>
        </w:rPr>
        <w:t xml:space="preserve">P. nemorensis</w:t>
      </w:r>
      <w:r>
        <w:rPr>
          <w:rFonts w:ascii="Calibri" w:hAnsi="Calibri" w:eastAsia="Calibri" w:cs="Calibri"/>
          <w:color w:val="000000"/>
          <w:sz w:val="22"/>
          <w:szCs w:val="22"/>
        </w:rPr>
        <w:t xml:space="preserve">, a predominantly bole-inhabiting species (Phillips &amp; Lanier, 1983) that also poses a risk to the EPPO region. The two species are not easily separated except using DNA barcodes. These two species overlap in range in eastern North America. There are forms that are intermediate between the two species and may represent hybrids.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typically attacks spruce and pine saplings ranging from 0.5-9.0 m tall and is most common on trees growing in plantations with an open canopy. More uncommonly, trees less than 0.5 m or greater than 9.0 m tall may be infested. Young saplings with copious resin droplets on the previous year’s stem growth should be investigated for signs of weevil attack such as feeding and oviposition punctures and presence of adults on the bark. Drooping of the terminal leader and eventual wilting and discoloration of foliage is also a sign of infestation. Removal of bark on previous year’s leader growth on trees suspected of being infested may reveal larval galleries in the phloem, sapwood and pith, pupae, callow adults, chip cocoons and round adult emergence holes in the bark. The presence of chip cocoons is certain evidence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damage.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spruces and pines, so detection of young spruces and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probably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spruces for planting and Christmas trees. 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only the previous year’s leader (and sometimes an additional 1-3 years of stem growth), it is unlikely to be carried by wood commodities, isolated bark or wood packaging material (incl.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downward in the previous year’s leader growth and therefore kill at least two year’s height growth during the year of attack (previous and current), and sometimes an additional 1-3 years growth depending how far down the stem the larvae tunnel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After a leader dies, one or more of the side branches of the first live node below the dead terminal assumes leadership, resulting in a crooked or forked stem with a bushy top. Secondary organisms, especially heartwood rot fungi, may enter through the infested terminals (Ostrander &amp; Foster, 1957). Commonly, trees may be attacked in two or more successive years, with the new attacks (egg laying) commencing on the stem just below the emergence holes of adults of the previous generation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more cumulative attacks a tree sustains, the more severe the impact on stem quality and growth, which reduces the tree’s value for lumber production. Stem deformities can result in reduction of merchantable volume, and lumber can be degraded due to grain aberrations and bark encased knots at the site of the crooks (Ostrander, 1971; Brace, 1972). Small trees &lt;0.5 m tall may be infested down to the root collar in a single year, resulting in tree death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Stand development may also be affected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Sitka spruce in mixed plantations were virtually eliminated resulting in development into pure stands of Douglas-fir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in British Columbia (Alfaro &amp; Wegwitz, 1994) and western hemlock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in Oregon and Washington (Wright &amp; Baisinger, 1955). The high susceptibility of Sitka spruce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virtually eliminated this species from reforestation programs in most of coastal British Columbia, Washington and Oregon (King &amp; Alfaro,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in Canada and the northern and eastern parts of the USA, this weevil is one of the most destructive pests of young spruce and pine plantations, especially of the native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as well as of the European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planted in North America. The losses to Sitka spruce in British Columbia as well as the relative benefits of pest management have been modelled (McMullen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1987). In Ontario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attacks on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reduced height growth by over 3 m and merchantable volume by 3-20%, resulting in a reduction in timber value by 25% (Brace, 1972). Also, in Ontario from 1980-1983, growth losses in plantations were estimated at 8000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and annual losses due to culling were estimated at 10 400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plantations and 5000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in natural stands (Gross, 1985). In New Hampshire, weevil-caused volume loss to </w:t>
      </w:r>
      <w:r>
        <w:rPr>
          <w:rFonts w:ascii="Calibri" w:hAnsi="Calibri" w:eastAsia="Calibri" w:cs="Calibri"/>
          <w:i/>
          <w:iCs/>
          <w:color w:val="000000"/>
          <w:sz w:val="22"/>
          <w:szCs w:val="22"/>
        </w:rPr>
        <w:t xml:space="preserve">P. strobus</w:t>
      </w:r>
      <w:r>
        <w:rPr>
          <w:rFonts w:ascii="Calibri" w:hAnsi="Calibri" w:eastAsia="Calibri" w:cs="Calibri"/>
          <w:color w:val="000000"/>
          <w:sz w:val="22"/>
          <w:szCs w:val="22"/>
        </w:rPr>
        <w:t xml:space="preserve"> was about 40% in the saw-log portion of trees (Godwin &amp; Reeks, 1967).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ethanol and turpentine have been used to monitor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populations in a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Christmas tree plantation in Wisconsin (Rieske &amp; Raffa, 1993).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is especially prevalent in open growing plantations of several conifer species. Once established, weevil populations increase quickly and remain high for many years. Control by pruning or application of pesticides is possible but typically annual interventions are required to keep weevil populations low. Such investment in pest management is economically feasible in only high value plantations (e.g., genetics trials, Christmas tree nurseries). Pruning infested leaders showing signs of wilting and discolouration of current year’s terminals can be effective if the entirety of the infested top is removed and the pruned material is destroyed before adults emerge by burning, burying or chipping. A new leader can be encouraged by clipping all but the strongest branch of the uppermost whorl, resulting in an improvement of stem form (Dirks, 1964).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reduce the population to acceptable levels, and regular pruning thereafter will likely be necessary to keep populations from building up again.</w:t>
      </w:r>
    </w:p>
    <w:p>
      <w:pPr>
        <w:widowControl w:val="on"/>
        <w:pBdr/>
        <w:spacing w:before="220" w:after="220" w:line="240" w:lineRule="auto"/>
        <w:ind w:left="0" w:right="0"/>
        <w:jc w:val="both"/>
      </w:pPr>
      <w:r>
        <w:rPr>
          <w:rFonts w:ascii="Calibri" w:hAnsi="Calibri" w:eastAsia="Calibri" w:cs="Calibri"/>
          <w:color w:val="000000"/>
          <w:sz w:val="22"/>
          <w:szCs w:val="22"/>
        </w:rPr>
        <w:t xml:space="preserve">Many pesticides have been tested for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Approved pesticides mixed with a commercial spreader/sticker to improve persistence on the tree may be applied to the previous year’s terminal growth in the spring before adult emergence from overwintering sites, thereby targeting feeding and ovipositing adults. Neem application to leaders containing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eggs and young larvae achieved 68-82% protection of leaders (Helson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 is affected by the amount of precipitation following pesticide application. Stem implants containing the systemic insecticides oxydemeton-methyl or acephate have been used successfully against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on Sitka spruce in British Columbia (Fraser &amp; Heppner, 1993). Insect growth regulators such as Dimilin and precocene applied to leaders may be effective ovicides or sterilants under certain conditions (Retnakaran &amp; Smith, 1982).</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potential biological control options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management. As there are several species of parasitoids that attack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it may be possible to augment parasitoid populations in plantations by caging pruned infested terminals in meshed cages whereby the mesh size is sufficiently fine to trap the robust weevils but coarse enough to allow escape of the slender parasitoids (Hulme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Some parasitoids of European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were identified as having good potential for introduction into North America for classical biological control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(Hulme, 1994; Kenis &amp; Mills, 1994). Adults, larvae and pupae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were highly susceptible to several entomopathogenic fungi in laboratory tests (Timonin &amp; Morris, 1974; Kope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Trudel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mixed plantations, shading of conifer hosts creates suboptimal environmental (cooler) conditions for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may also interfere with host detection; however, shading also slows conifer growth. When crop trees are weevil-susceptible species, faster growing overstory trees (usually hardwoods) should not be all removed to increase conifer growth but rather a portion can be removed to maintain some shade while increasing conifer growth somewhat (Ledig &amp; Smith, 1981; Taylor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Reduced spacing between trees in plantations can also reduce weevil damage (Alfaro &amp; Omule, 1990), although this was not the case for Norway spruce in Quebec (Archambault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and introduced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susceptible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have variants that appear to exhibit resistance to weevil attack or reproduction. Most work on genetic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has occurred in Sitka spruce and eastern white pine. Resistance is related to relative amounts of different foliar and cortical chemicals (Harris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Brooks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intensity of the induced resin response during injury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1996b), density of outer resin ducts (Tomlin &amp; Borden, 1997), crystallization of resin (Santamour &amp; Zinkel, 1977), and chemical-induced reduction of reproduction and progeny development and survival (Sahota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Breeding for genetic resistance to weevil attack could be utilized to complement silvicultural tactics in the management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1996a). Varieties of trees resistant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can be mass-propagated using somatic embryogenesis (Roberts, 1994). While there was some evidence for resistance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Norway spruce, this species may not possess the defence mechanisms to fight off weevil attack (Poulin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It is possible to breed for high‐quality,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-resistant Norway spruce reforestation stock with high accuracy achieved from single‐trait or multi‐trait genomic selection (Lenz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Alfaro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describe an integrated pest management (IPM) system relying on accurate hazard rating of plantation sites and continuous monitoring of attack levels.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a serious pest of the non-native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planted in the EPPO region, and of the native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three very important timber species in Europe, and with an obvious potential to establish in the conditions of Northern Europe which resemble those of Canada,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clearly presents a serious risk for the EPPO region.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it is an occasional host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in Canada (Humble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Finally, other species that are native and widespread in the EPPO region have been recorded as hosts, such as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to Europe, EPPO recommends that host plants for planting (except seeds) and cut branches (including Christmas trees)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As wood commodities and isolated bark are unlikely pathways (see Pathways for movement), phytosanitary measures are not detailed here. Measures for such commodities in relation to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(1994) The white pine weevil in British Columbia: biology and damage.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7-22.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Borden JH (1985) Factors determining the feeding of the white pine weevil (Coleoptera: Curculionidae) on its coastal British Columbia host, Sitka spruce. </w:t>
      </w:r>
      <w:r>
        <w:rPr>
          <w:rFonts w:ascii="Calibri" w:hAnsi="Calibri" w:eastAsia="Calibri" w:cs="Calibri"/>
          <w:i/>
          <w:iCs/>
          <w:color w:val="000000"/>
          <w:sz w:val="22"/>
          <w:szCs w:val="22"/>
        </w:rPr>
        <w:t xml:space="preserve">Proceedings of the Entomological Society of Ontario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63-66.</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Borden JH, Fraser RG &amp; Yanchuk A (1995) The white pine weevil in British Columbia: basis for an integrated pest management system.</w:t>
      </w:r>
      <w:r>
        <w:rPr>
          <w:rFonts w:ascii="Calibri" w:hAnsi="Calibri" w:eastAsia="Calibri" w:cs="Calibri"/>
          <w:i/>
          <w:iCs/>
          <w:color w:val="000000"/>
          <w:sz w:val="22"/>
          <w:szCs w:val="22"/>
        </w:rPr>
        <w:t xml:space="preserve"> Forestry Chronicle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66-73.</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He F, Kiss G, King J &amp; Yanchuk A (1996a) Resistance of white spruce to white pine weevil: development of a resistance index.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51-62.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Kiss GK &amp; Yanchuk A (1996b) Variation in the induced resin response of white spruce,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to attack by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967-972.</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Omule SAY (1990) The effect of spacing on Sitka spruce weevil damage to Sitka spruce.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179-184.</w:t>
      </w:r>
    </w:p>
    <w:p>
      <w:pPr>
        <w:widowControl w:val="on"/>
        <w:pBdr/>
        <w:spacing w:before="220" w:after="220" w:line="240" w:lineRule="auto"/>
        <w:ind w:left="0" w:right="0"/>
        <w:jc w:val="left"/>
      </w:pPr>
      <w:r>
        <w:rPr>
          <w:rFonts w:ascii="Calibri" w:hAnsi="Calibri" w:eastAsia="Calibri" w:cs="Calibri"/>
          <w:color w:val="000000"/>
          <w:sz w:val="22"/>
          <w:szCs w:val="22"/>
        </w:rPr>
        <w:t xml:space="preserve">Alfaro RI &amp; Wegwitz E (1994) The spruce weevil in the Green Timbers Plantations.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222-225.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Archambault L, Morissette J, Lavallée R &amp; Comtois B (1993) Susceptibility of Norway spruce plantations to white pine weevil attacks in southern Quebec.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2362-2369.</w:t>
      </w:r>
    </w:p>
    <w:p>
      <w:pPr>
        <w:widowControl w:val="on"/>
        <w:pBdr/>
        <w:spacing w:before="220" w:after="220" w:line="240" w:lineRule="auto"/>
        <w:ind w:left="0" w:right="0"/>
        <w:jc w:val="left"/>
      </w:pPr>
      <w:r>
        <w:rPr>
          <w:rFonts w:ascii="Calibri" w:hAnsi="Calibri" w:eastAsia="Calibri" w:cs="Calibri"/>
          <w:color w:val="000000"/>
          <w:sz w:val="22"/>
          <w:szCs w:val="22"/>
        </w:rPr>
        <w:t xml:space="preserve">Booth DC, Phillips TW, Claesson A, Silverstein RM, Lanier GN &amp; West JR (1983) Aggregation pheromone components of two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isolation, identification and field activity.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Boyce TM, Zwick ME &amp; Aquadro CF (1994) Mitochondrial DNA in the bark weevils: phylogeny and evolution in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group (Coleoptera: Curculionidae).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183-194.</w:t>
      </w:r>
    </w:p>
    <w:p>
      <w:pPr>
        <w:widowControl w:val="on"/>
        <w:pBdr/>
        <w:spacing w:before="220" w:after="220" w:line="240" w:lineRule="auto"/>
        <w:ind w:left="0" w:right="0"/>
        <w:jc w:val="left"/>
      </w:pPr>
      <w:r>
        <w:rPr>
          <w:rFonts w:ascii="Calibri" w:hAnsi="Calibri" w:eastAsia="Calibri" w:cs="Calibri"/>
          <w:color w:val="000000"/>
          <w:sz w:val="22"/>
          <w:szCs w:val="22"/>
        </w:rPr>
        <w:t xml:space="preserve">Brace LG (1972) Weevil control could raise value of white pine by 25%. </w:t>
      </w:r>
      <w:r>
        <w:rPr>
          <w:rFonts w:ascii="Calibri" w:hAnsi="Calibri" w:eastAsia="Calibri" w:cs="Calibri"/>
          <w:i/>
          <w:iCs/>
          <w:color w:val="000000"/>
          <w:sz w:val="22"/>
          <w:szCs w:val="22"/>
        </w:rPr>
        <w:t xml:space="preserve">Canadian Forest Industry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42-45.</w:t>
      </w:r>
    </w:p>
    <w:p>
      <w:pPr>
        <w:widowControl w:val="on"/>
        <w:pBdr/>
        <w:spacing w:before="220" w:after="220" w:line="240" w:lineRule="auto"/>
        <w:ind w:left="0" w:right="0"/>
        <w:jc w:val="left"/>
      </w:pPr>
      <w:r>
        <w:rPr>
          <w:rFonts w:ascii="Calibri" w:hAnsi="Calibri" w:eastAsia="Calibri" w:cs="Calibri"/>
          <w:color w:val="000000"/>
          <w:sz w:val="22"/>
          <w:szCs w:val="22"/>
        </w:rPr>
        <w:t xml:space="preserve">Brooks JE, Borden JH &amp; Pierce HD Jr (1987) Foliar and cortical monoterpenes in Sitka spruce: potential indicators of resistance to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740-745.</w:t>
      </w:r>
    </w:p>
    <w:p>
      <w:pPr>
        <w:widowControl w:val="on"/>
        <w:pBdr/>
        <w:spacing w:before="220" w:after="220" w:line="240" w:lineRule="auto"/>
        <w:ind w:left="0" w:right="0"/>
        <w:jc w:val="left"/>
      </w:pPr>
      <w:r>
        <w:rPr>
          <w:rFonts w:ascii="Calibri" w:hAnsi="Calibri" w:eastAsia="Calibri" w:cs="Calibri"/>
          <w:color w:val="000000"/>
          <w:sz w:val="22"/>
          <w:szCs w:val="22"/>
        </w:rPr>
        <w:t xml:space="preserve">Dirks CO (1964) The white pine weevil in Maine: its biology and dispersal and the effect of prompt clipping of infested leaders on trunk form.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625. University of Maine, Agriculture Experiment Station, Orono, Maine, 23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88636803ceff5a206"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[accessed on 25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Fraser RG &amp; Heppner DG (1993) Control of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on Sitka spruce using implants containing systemic insecticide.</w:t>
      </w:r>
      <w:r>
        <w:rPr>
          <w:rFonts w:ascii="Calibri" w:hAnsi="Calibri" w:eastAsia="Calibri" w:cs="Calibri"/>
          <w:i/>
          <w:iCs/>
          <w:color w:val="000000"/>
          <w:sz w:val="22"/>
          <w:szCs w:val="22"/>
        </w:rPr>
        <w:t xml:space="preserve"> Forestry Chronicle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600-603.</w:t>
      </w:r>
    </w:p>
    <w:p>
      <w:pPr>
        <w:widowControl w:val="on"/>
        <w:pBdr/>
        <w:spacing w:before="220" w:after="220" w:line="240" w:lineRule="auto"/>
        <w:ind w:left="0" w:right="0"/>
        <w:jc w:val="left"/>
      </w:pPr>
      <w:r>
        <w:rPr>
          <w:rFonts w:ascii="Calibri" w:hAnsi="Calibri" w:eastAsia="Calibri" w:cs="Calibri"/>
          <w:color w:val="000000"/>
          <w:sz w:val="22"/>
          <w:szCs w:val="22"/>
        </w:rPr>
        <w:t xml:space="preserve">Godwin PA &amp; Reeks WA (1967) White-pine weevil. In </w:t>
      </w:r>
      <w:r>
        <w:rPr>
          <w:rFonts w:ascii="Calibri" w:hAnsi="Calibri" w:eastAsia="Calibri" w:cs="Calibri"/>
          <w:i/>
          <w:iCs/>
          <w:color w:val="000000"/>
          <w:sz w:val="22"/>
          <w:szCs w:val="22"/>
        </w:rPr>
        <w:t xml:space="preserve">Important forest insects and diseases of mutual concern to Canada, the USA and Mexico</w:t>
      </w:r>
      <w:r>
        <w:rPr>
          <w:rFonts w:ascii="Calibri" w:hAnsi="Calibri" w:eastAsia="Calibri" w:cs="Calibri"/>
          <w:color w:val="000000"/>
          <w:sz w:val="22"/>
          <w:szCs w:val="22"/>
        </w:rPr>
        <w:t xml:space="preserve"> (eds by Davidson AG &amp; Prentice RM), p. 148-151. Canadian Department of Forestry and Rural Development, Publication No. 1180, Ottawa, ON.</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HL (1985) Impact of pests on the white pine resource of Ontario. </w:t>
      </w:r>
      <w:r>
        <w:rPr>
          <w:rFonts w:ascii="Calibri" w:hAnsi="Calibri" w:eastAsia="Calibri" w:cs="Calibri"/>
          <w:i/>
          <w:iCs/>
          <w:color w:val="000000"/>
          <w:sz w:val="22"/>
          <w:szCs w:val="22"/>
        </w:rPr>
        <w:t xml:space="preserve">Proceedings of the Entomological Society of Ontario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Hamel M, Bauce E &amp; Lavallee R (1994) Feeding and oviposition interspecific preferences of adult white pine weevil (Coleoptera: Curculionidae) in Quebec.</w:t>
      </w:r>
      <w:r>
        <w:rPr>
          <w:rFonts w:ascii="Calibri" w:hAnsi="Calibri" w:eastAsia="Calibri" w:cs="Calibri"/>
          <w:i/>
          <w:iCs/>
          <w:color w:val="000000"/>
          <w:sz w:val="22"/>
          <w:szCs w:val="22"/>
        </w:rPr>
        <w:t xml:space="preserve">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923-929.</w:t>
      </w:r>
    </w:p>
    <w:p>
      <w:pPr>
        <w:widowControl w:val="on"/>
        <w:pBdr/>
        <w:spacing w:before="220" w:after="220" w:line="240" w:lineRule="auto"/>
        <w:ind w:left="0" w:right="0"/>
        <w:jc w:val="left"/>
      </w:pPr>
      <w:r>
        <w:rPr>
          <w:rFonts w:ascii="Calibri" w:hAnsi="Calibri" w:eastAsia="Calibri" w:cs="Calibri"/>
          <w:color w:val="000000"/>
          <w:sz w:val="22"/>
          <w:szCs w:val="22"/>
        </w:rPr>
        <w:t xml:space="preserve">Hamid A, Odell TM &amp; Katovich (1995) White pine weevil. </w:t>
      </w:r>
      <w:r>
        <w:rPr>
          <w:rFonts w:ascii="Calibri" w:hAnsi="Calibri" w:eastAsia="Calibri" w:cs="Calibri"/>
          <w:i/>
          <w:iCs/>
          <w:color w:val="000000"/>
          <w:sz w:val="22"/>
          <w:szCs w:val="22"/>
        </w:rPr>
        <w:t xml:space="preserve">Forest Insect and Disease Leaflet</w:t>
      </w:r>
      <w:r>
        <w:rPr>
          <w:rFonts w:ascii="Calibri" w:hAnsi="Calibri" w:eastAsia="Calibri" w:cs="Calibri"/>
          <w:color w:val="000000"/>
          <w:sz w:val="22"/>
          <w:szCs w:val="22"/>
        </w:rPr>
        <w:t xml:space="preserve"> 21. United States Department of Agriculture, Forest Service, Washington, DC, 10 pp.</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LJ, Borden JH, Pierce HD Jr &amp; Oehlschlager AC (1983) Cortical resin monoterpenes in Sitka spruce and resistance to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Helson B, DeGroot P, McFarlane J, Zylstra B &amp; Scarr T (1998) Leader and systematic applications of Neem EC formulations for control of white pine weevil (Coleoptera: Curculionidae) on jack pine and white pine. </w:t>
      </w:r>
      <w:r>
        <w:rPr>
          <w:rFonts w:ascii="Calibri" w:hAnsi="Calibri" w:eastAsia="Calibri" w:cs="Calibri"/>
          <w:i/>
          <w:iCs/>
          <w:color w:val="000000"/>
          <w:sz w:val="22"/>
          <w:szCs w:val="22"/>
        </w:rPr>
        <w:t xml:space="preserve">Proceedings of the Entomological Society of Ontario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3. Canadian Forest Service, Northern Forestry Centre, Edmonton, AB,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(1994) The potential of </w:t>
      </w:r>
      <w:r>
        <w:rPr>
          <w:rFonts w:ascii="Calibri" w:hAnsi="Calibri" w:eastAsia="Calibri" w:cs="Calibri"/>
          <w:i/>
          <w:iCs/>
          <w:color w:val="000000"/>
          <w:sz w:val="22"/>
          <w:szCs w:val="22"/>
        </w:rPr>
        <w:t xml:space="preserve">Allodorus crassigaster</w:t>
      </w:r>
      <w:r>
        <w:rPr>
          <w:rFonts w:ascii="Calibri" w:hAnsi="Calibri" w:eastAsia="Calibri" w:cs="Calibri"/>
          <w:color w:val="000000"/>
          <w:sz w:val="22"/>
          <w:szCs w:val="22"/>
        </w:rPr>
        <w:t xml:space="preserve">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294-300.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&amp; Dawson AF (1992) Serbian spruce is as vulnerable as Sitka spruce to damage by the Sitka spruce weevil. </w:t>
      </w:r>
      <w:r>
        <w:rPr>
          <w:rFonts w:ascii="Calibri" w:hAnsi="Calibri" w:eastAsia="Calibri" w:cs="Calibri"/>
          <w:i/>
          <w:iCs/>
          <w:color w:val="000000"/>
          <w:sz w:val="22"/>
          <w:szCs w:val="22"/>
        </w:rPr>
        <w:t xml:space="preserve">Western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Dawson AF &amp; Harris JWE (1986) Exploiting cold-hardiness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1115-1122.</w:t>
      </w:r>
    </w:p>
    <w:p>
      <w:pPr>
        <w:widowControl w:val="on"/>
        <w:pBdr/>
        <w:spacing w:before="220" w:after="220" w:line="240" w:lineRule="auto"/>
        <w:ind w:left="0" w:right="0"/>
        <w:jc w:val="left"/>
      </w:pPr>
      <w:r>
        <w:rPr>
          <w:rFonts w:ascii="Calibri" w:hAnsi="Calibri" w:eastAsia="Calibri" w:cs="Calibri"/>
          <w:color w:val="000000"/>
          <w:sz w:val="22"/>
          <w:szCs w:val="22"/>
        </w:rPr>
        <w:t xml:space="preserve">Hulme MA, Harris JWE &amp; Dawson AF (1987) Exploiting adult girth to separate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(Coleoptera: Curculionidae) from associated insects in leaders of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(Bong.) Carr.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Humble LM, Humphreys N &amp; Van Sickle GA (1994) Distribution and hosts of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in Canada.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68-75.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Kenis M &amp; Mills NJ (1994) Parasitoids of European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 Curculionidae) and their potential for the biological control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in Canada.</w:t>
      </w:r>
      <w:r>
        <w:rPr>
          <w:rFonts w:ascii="Calibri" w:hAnsi="Calibri" w:eastAsia="Calibri" w:cs="Calibri"/>
          <w:i/>
          <w:iCs/>
          <w:color w:val="000000"/>
          <w:sz w:val="22"/>
          <w:szCs w:val="22"/>
        </w:rPr>
        <w:t xml:space="preserve">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14-21.</w:t>
      </w:r>
    </w:p>
    <w:p>
      <w:pPr>
        <w:widowControl w:val="on"/>
        <w:pBdr/>
        <w:spacing w:before="220" w:after="220" w:line="240" w:lineRule="auto"/>
        <w:ind w:left="0" w:right="0"/>
        <w:jc w:val="left"/>
      </w:pPr>
      <w:r>
        <w:rPr>
          <w:rFonts w:ascii="Calibri" w:hAnsi="Calibri" w:eastAsia="Calibri" w:cs="Calibri"/>
          <w:color w:val="000000"/>
          <w:sz w:val="22"/>
          <w:szCs w:val="22"/>
        </w:rPr>
        <w:t xml:space="preserve">Khalil MAK (1969) Scotch pine: variation and performance in Minnesota. </w:t>
      </w:r>
      <w:r>
        <w:rPr>
          <w:rFonts w:ascii="Calibri" w:hAnsi="Calibri" w:eastAsia="Calibri" w:cs="Calibri"/>
          <w:i/>
          <w:iCs/>
          <w:color w:val="000000"/>
          <w:sz w:val="22"/>
          <w:szCs w:val="22"/>
        </w:rPr>
        <w:t xml:space="preserve">Journal of the Minnesota Academy of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114-117.</w:t>
      </w:r>
    </w:p>
    <w:p>
      <w:pPr>
        <w:widowControl w:val="on"/>
        <w:pBdr/>
        <w:spacing w:before="220" w:after="220" w:line="240" w:lineRule="auto"/>
        <w:ind w:left="0" w:right="0"/>
        <w:jc w:val="left"/>
      </w:pPr>
      <w:r>
        <w:rPr>
          <w:rFonts w:ascii="Calibri" w:hAnsi="Calibri" w:eastAsia="Calibri" w:cs="Calibri"/>
          <w:color w:val="000000"/>
          <w:sz w:val="22"/>
          <w:szCs w:val="22"/>
        </w:rPr>
        <w:t xml:space="preserve">King JN &amp; Alfaro RI (2004) Breeding for resistance to a shoot weevil of Sitka spruce in British Columbia, Canada. In </w:t>
      </w:r>
      <w:r>
        <w:rPr>
          <w:rFonts w:ascii="Calibri" w:hAnsi="Calibri" w:eastAsia="Calibri" w:cs="Calibri"/>
          <w:i/>
          <w:iCs/>
          <w:color w:val="000000"/>
          <w:sz w:val="22"/>
          <w:szCs w:val="22"/>
        </w:rPr>
        <w:t xml:space="preserve">Plantation Forest Biotechnology for the 21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Century</w:t>
      </w:r>
      <w:r>
        <w:rPr>
          <w:rFonts w:ascii="Calibri" w:hAnsi="Calibri" w:eastAsia="Calibri" w:cs="Calibri"/>
          <w:color w:val="000000"/>
          <w:sz w:val="22"/>
          <w:szCs w:val="22"/>
        </w:rPr>
        <w:t xml:space="preserve"> (eds Walter C &amp; Carson M), pp. 119-128. Research Signpost, Trivandrum, India.</w:t>
      </w:r>
    </w:p>
    <w:p>
      <w:pPr>
        <w:widowControl w:val="on"/>
        <w:pBdr/>
        <w:spacing w:before="220" w:after="220" w:line="240" w:lineRule="auto"/>
        <w:ind w:left="0" w:right="0"/>
        <w:jc w:val="left"/>
      </w:pPr>
      <w:r>
        <w:rPr>
          <w:rFonts w:ascii="Calibri" w:hAnsi="Calibri" w:eastAsia="Calibri" w:cs="Calibri"/>
          <w:color w:val="000000"/>
          <w:sz w:val="22"/>
          <w:szCs w:val="22"/>
        </w:rPr>
        <w:t xml:space="preserve">Klein JI (1971) Performance of Russian Scots pine populations in Manitoba and Ontario.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NOR-X-2</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Canadian Forest Service, Northern Forest Research Centre, Edmonton, AB,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Kope HH, Alfaro RI &amp; Lavallée (2006) Virulence of the entomopathogenic fungus </w:t>
      </w:r>
      <w:r>
        <w:rPr>
          <w:rFonts w:ascii="Calibri" w:hAnsi="Calibri" w:eastAsia="Calibri" w:cs="Calibri"/>
          <w:i/>
          <w:iCs/>
          <w:color w:val="000000"/>
          <w:sz w:val="22"/>
          <w:szCs w:val="22"/>
        </w:rPr>
        <w:t xml:space="preserve">Lecanicillium</w:t>
      </w:r>
      <w:r>
        <w:rPr>
          <w:rFonts w:ascii="Calibri" w:hAnsi="Calibri" w:eastAsia="Calibri" w:cs="Calibri"/>
          <w:color w:val="000000"/>
          <w:sz w:val="22"/>
          <w:szCs w:val="22"/>
        </w:rPr>
        <w:t xml:space="preserve"> (Deuteromycota: Hyphomycetes) to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253-262.</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Forestry Canada, Northwest Region, Northern Forestry Centre, Edmonton, AB, 7 pp.</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Ledig FT &amp; Smith DM (1981) The influence of silvicultural practices on genetic improvement: height growth and weevil resistance in eastern white pine.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30-36.</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Lenz PRN, Nadeau S, Mottet MG, Perron M, Isabel N, Beaulieu J &amp; Bousquet J (2020) Multi-trait genomic selection for weevil resistance, growth, and wood quality in Norway spruce.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76-94.</w:t>
      </w:r>
    </w:p>
    <w:p>
      <w:pPr>
        <w:widowControl w:val="on"/>
        <w:pBdr/>
        <w:spacing w:before="220" w:after="220" w:line="240" w:lineRule="auto"/>
        <w:ind w:left="0" w:right="0"/>
        <w:jc w:val="left"/>
      </w:pPr>
      <w:r>
        <w:rPr>
          <w:rFonts w:ascii="Calibri" w:hAnsi="Calibri" w:eastAsia="Calibri" w:cs="Calibri"/>
          <w:color w:val="000000"/>
          <w:sz w:val="22"/>
          <w:szCs w:val="22"/>
        </w:rPr>
        <w:t xml:space="preserve">McMullen LH, Thomson AJ &amp; Quenet R (1987) Sitka spruce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population dynamics and control: a simulation model based on field relationships. </w:t>
      </w:r>
      <w:r>
        <w:rPr>
          <w:rFonts w:ascii="Calibri" w:hAnsi="Calibri" w:eastAsia="Calibri" w:cs="Calibri"/>
          <w:i/>
          <w:iCs/>
          <w:color w:val="000000"/>
          <w:sz w:val="22"/>
          <w:szCs w:val="22"/>
        </w:rPr>
        <w:t xml:space="preserve">Information Report </w:t>
      </w:r>
      <w:r>
        <w:rPr>
          <w:rFonts w:ascii="Calibri" w:hAnsi="Calibri" w:eastAsia="Calibri" w:cs="Calibri"/>
          <w:color w:val="000000"/>
          <w:sz w:val="22"/>
          <w:szCs w:val="22"/>
        </w:rPr>
        <w:t xml:space="preserve">BC-X-288. Canadian Forest Service, Pacific Forestry Centre, Victoria, BC, 20 pp.</w:t>
      </w:r>
    </w:p>
    <w:p>
      <w:pPr>
        <w:widowControl w:val="on"/>
        <w:pBdr/>
        <w:spacing w:before="220" w:after="220" w:line="240" w:lineRule="auto"/>
        <w:ind w:left="0" w:right="0"/>
        <w:jc w:val="left"/>
      </w:pPr>
      <w:r>
        <w:rPr>
          <w:rFonts w:ascii="Calibri" w:hAnsi="Calibri" w:eastAsia="Calibri" w:cs="Calibri"/>
          <w:color w:val="000000"/>
          <w:sz w:val="22"/>
          <w:szCs w:val="22"/>
        </w:rPr>
        <w:t xml:space="preserve">Mitchell RG, Wright KH &amp; Johnson NE (1990) Damage by the Sitka spruce weevil (Pissodes strobi and growth patterns for 10 spruce species and hybrids over 26 years in the Pacific Northwest. </w:t>
      </w:r>
      <w:r>
        <w:rPr>
          <w:rFonts w:ascii="Calibri" w:hAnsi="Calibri" w:eastAsia="Calibri" w:cs="Calibri"/>
          <w:i/>
          <w:iCs/>
          <w:color w:val="000000"/>
          <w:sz w:val="22"/>
          <w:szCs w:val="22"/>
        </w:rPr>
        <w:t xml:space="preserve">Research Paper </w:t>
      </w:r>
      <w:r>
        <w:rPr>
          <w:rFonts w:ascii="Calibri" w:hAnsi="Calibri" w:eastAsia="Calibri" w:cs="Calibri"/>
          <w:color w:val="000000"/>
          <w:sz w:val="22"/>
          <w:szCs w:val="22"/>
        </w:rPr>
        <w:t xml:space="preserve">PNW-RP-434. United States Department of Agriculture, Forest Service, Pacific Northwest Research Station, Portland, OR, 12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(1971) Identification and evaluation of defects in eastern white pine logs and trees. </w:t>
      </w:r>
      <w:r>
        <w:rPr>
          <w:rFonts w:ascii="Calibri" w:hAnsi="Calibri" w:eastAsia="Calibri" w:cs="Calibri"/>
          <w:i/>
          <w:iCs/>
          <w:color w:val="000000"/>
          <w:sz w:val="22"/>
          <w:szCs w:val="22"/>
        </w:rPr>
        <w:t xml:space="preserve">Research Paper</w:t>
      </w:r>
      <w:r>
        <w:rPr>
          <w:rFonts w:ascii="Calibri" w:hAnsi="Calibri" w:eastAsia="Calibri" w:cs="Calibri"/>
          <w:color w:val="000000"/>
          <w:sz w:val="22"/>
          <w:szCs w:val="22"/>
        </w:rPr>
        <w:t xml:space="preserve"> NE-190. United States Department of Agriculture, Forest Service, Northeastern Forest Experiment Station, Upper Darby, PA, 27 pp.</w:t>
      </w:r>
    </w:p>
    <w:p>
      <w:pPr>
        <w:widowControl w:val="on"/>
        <w:pBdr/>
        <w:spacing w:before="220" w:after="220" w:line="240" w:lineRule="auto"/>
        <w:ind w:left="0" w:right="0"/>
        <w:jc w:val="left"/>
      </w:pPr>
      <w:r>
        <w:rPr>
          <w:rFonts w:ascii="Calibri" w:hAnsi="Calibri" w:eastAsia="Calibri" w:cs="Calibri"/>
          <w:color w:val="000000"/>
          <w:sz w:val="22"/>
          <w:szCs w:val="22"/>
        </w:rPr>
        <w:t xml:space="preserve">Ostrander MD &amp; Foster CH (1957) Weevil red rot associations in eastern white pine. </w:t>
      </w:r>
      <w:r>
        <w:rPr>
          <w:rFonts w:ascii="Calibri" w:hAnsi="Calibri" w:eastAsia="Calibri" w:cs="Calibri"/>
          <w:i/>
          <w:iCs/>
          <w:color w:val="000000"/>
          <w:sz w:val="22"/>
          <w:szCs w:val="22"/>
        </w:rPr>
        <w:t xml:space="preserve">Research Notes</w:t>
      </w:r>
      <w:r>
        <w:rPr>
          <w:rFonts w:ascii="Calibri" w:hAnsi="Calibri" w:eastAsia="Calibri" w:cs="Calibri"/>
          <w:color w:val="000000"/>
          <w:sz w:val="22"/>
          <w:szCs w:val="22"/>
        </w:rPr>
        <w:t xml:space="preserve"> 68. United States Department of Agriculture, Forest Service, Northeastern Forest Experiment Station, Upper Darby, PA</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 pp.</w:t>
      </w:r>
    </w:p>
    <w:p>
      <w:pPr>
        <w:widowControl w:val="on"/>
        <w:pBdr/>
        <w:spacing w:before="220" w:after="220" w:line="240" w:lineRule="auto"/>
        <w:ind w:left="0" w:right="0"/>
        <w:jc w:val="left"/>
      </w:pPr>
      <w:r>
        <w:rPr>
          <w:rFonts w:ascii="Calibri" w:hAnsi="Calibri" w:eastAsia="Calibri" w:cs="Calibri"/>
          <w:color w:val="000000"/>
          <w:sz w:val="22"/>
          <w:szCs w:val="22"/>
        </w:rPr>
        <w:t xml:space="preserve">Phillips TW &amp; Lanier GN (1983) Biosystematics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feeding preference and breeding site specificity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approximatus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1627-1636.</w:t>
      </w:r>
    </w:p>
    <w:p>
      <w:pPr>
        <w:widowControl w:val="on"/>
        <w:pBdr/>
        <w:spacing w:before="220" w:after="220" w:line="240" w:lineRule="auto"/>
        <w:ind w:left="0" w:right="0"/>
        <w:jc w:val="left"/>
      </w:pPr>
      <w:r>
        <w:rPr>
          <w:rFonts w:ascii="Calibri" w:hAnsi="Calibri" w:eastAsia="Calibri" w:cs="Calibri"/>
          <w:color w:val="000000"/>
          <w:sz w:val="22"/>
          <w:szCs w:val="22"/>
        </w:rPr>
        <w:t xml:space="preserve">Plummer CC &amp; Pillsbury AE (1929) The white pine weevil in New Hampshire.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247. University of New Hampshire Experiment Station, Durham, NH, 32 pp.</w:t>
      </w:r>
    </w:p>
    <w:p>
      <w:pPr>
        <w:widowControl w:val="on"/>
        <w:pBdr/>
        <w:spacing w:before="220" w:after="220" w:line="240" w:lineRule="auto"/>
        <w:ind w:left="0" w:right="0"/>
        <w:jc w:val="left"/>
      </w:pPr>
      <w:r>
        <w:rPr>
          <w:rFonts w:ascii="Calibri" w:hAnsi="Calibri" w:eastAsia="Calibri" w:cs="Calibri"/>
          <w:color w:val="000000"/>
          <w:sz w:val="22"/>
          <w:szCs w:val="22"/>
        </w:rPr>
        <w:t xml:space="preserve">Poulin J, Lavallée R, Mauffette Y &amp; Rioux D (2006) White pine weevil performances in relation to budburst phenology and traumatic resin duct formation in Norway spruce.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129-137.</w:t>
      </w:r>
    </w:p>
    <w:p>
      <w:pPr>
        <w:widowControl w:val="on"/>
        <w:pBdr/>
        <w:spacing w:before="220" w:after="220" w:line="240" w:lineRule="auto"/>
        <w:ind w:left="0" w:right="0"/>
        <w:jc w:val="left"/>
      </w:pPr>
      <w:r>
        <w:rPr>
          <w:rFonts w:ascii="Calibri" w:hAnsi="Calibri" w:eastAsia="Calibri" w:cs="Calibri"/>
          <w:color w:val="000000"/>
          <w:sz w:val="22"/>
          <w:szCs w:val="22"/>
        </w:rPr>
        <w:t xml:space="preserve">Retnakaran A &amp; Smith L (1982) Reproductive effects of insect growth regulators on the white pine weevil,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(Coleoptera: Curculionidae). </w:t>
      </w:r>
      <w:r>
        <w:rPr>
          <w:rFonts w:ascii="Calibri" w:hAnsi="Calibri" w:eastAsia="Calibri" w:cs="Calibri"/>
          <w:i/>
          <w:iCs/>
          <w:color w:val="000000"/>
          <w:sz w:val="22"/>
          <w:szCs w:val="22"/>
        </w:rPr>
        <w:t xml:space="preserve">The Canadian Entomologists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381-383.</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&amp; Raffa KF (1993) Use of ethanol- and turpentine-baited flight traps to monitor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weevils (Coleoptera: Curculionidae) in Christmas tree plantations. </w:t>
      </w:r>
      <w:r>
        <w:rPr>
          <w:rFonts w:ascii="Calibri" w:hAnsi="Calibri" w:eastAsia="Calibri" w:cs="Calibri"/>
          <w:i/>
          <w:iCs/>
          <w:color w:val="000000"/>
          <w:sz w:val="22"/>
          <w:szCs w:val="22"/>
        </w:rPr>
        <w:t xml:space="preserve">Great Lakes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155-160.</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DR (1994) Somatic embryogenesis for mass propagation of weevil resistant spruce. In </w:t>
      </w:r>
      <w:r>
        <w:rPr>
          <w:rFonts w:ascii="Calibri" w:hAnsi="Calibri" w:eastAsia="Calibri" w:cs="Calibri"/>
          <w:i/>
          <w:iCs/>
          <w:color w:val="000000"/>
          <w:sz w:val="22"/>
          <w:szCs w:val="22"/>
        </w:rPr>
        <w:t xml:space="preserve">The white pine weevil: biology, damage and management</w:t>
      </w:r>
      <w:r>
        <w:rPr>
          <w:rFonts w:ascii="Calibri" w:hAnsi="Calibri" w:eastAsia="Calibri" w:cs="Calibri"/>
          <w:color w:val="000000"/>
          <w:sz w:val="22"/>
          <w:szCs w:val="22"/>
        </w:rPr>
        <w:t xml:space="preserve"> (eds Alfaro RI, Kiss G &amp; Fraser RG), p. 169-173. Canadian Forest Service, Pacific Forestry Centre &amp; British Columbia Ministry of Forests, Forest Resource Development Agreement Report No. 226.</w:t>
      </w:r>
    </w:p>
    <w:p>
      <w:pPr>
        <w:widowControl w:val="on"/>
        <w:pBdr/>
        <w:spacing w:before="220" w:after="220" w:line="240" w:lineRule="auto"/>
        <w:ind w:left="0" w:right="0"/>
        <w:jc w:val="left"/>
      </w:pPr>
      <w:r>
        <w:rPr>
          <w:rFonts w:ascii="Calibri" w:hAnsi="Calibri" w:eastAsia="Calibri" w:cs="Calibri"/>
          <w:color w:val="000000"/>
          <w:sz w:val="22"/>
          <w:szCs w:val="22"/>
        </w:rPr>
        <w:t xml:space="preserve">Sahota TS, Manville JF &amp; White E (1994) Interactions between Sitka spruce weevil and its host, </w:t>
      </w:r>
      <w:r>
        <w:rPr>
          <w:rFonts w:ascii="Calibri" w:hAnsi="Calibri" w:eastAsia="Calibri" w:cs="Calibri"/>
          <w:i/>
          <w:iCs/>
          <w:color w:val="000000"/>
          <w:sz w:val="22"/>
          <w:szCs w:val="22"/>
        </w:rPr>
        <w:t xml:space="preserve">Picea sitchensis </w:t>
      </w:r>
      <w:r>
        <w:rPr>
          <w:rFonts w:ascii="Calibri" w:hAnsi="Calibri" w:eastAsia="Calibri" w:cs="Calibri"/>
          <w:color w:val="000000"/>
          <w:sz w:val="22"/>
          <w:szCs w:val="22"/>
        </w:rPr>
        <w:t xml:space="preserve">(Bong.) Carr.: a new mechanism for resistance.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1067-1074.</w:t>
      </w:r>
    </w:p>
    <w:p>
      <w:pPr>
        <w:widowControl w:val="on"/>
        <w:pBdr/>
        <w:spacing w:before="220" w:after="220" w:line="240" w:lineRule="auto"/>
        <w:ind w:left="0" w:right="0"/>
        <w:jc w:val="left"/>
      </w:pPr>
      <w:r>
        <w:rPr>
          <w:rFonts w:ascii="Calibri" w:hAnsi="Calibri" w:eastAsia="Calibri" w:cs="Calibri"/>
          <w:color w:val="000000"/>
          <w:sz w:val="22"/>
          <w:szCs w:val="22"/>
        </w:rPr>
        <w:t xml:space="preserve">Santamour FS Jr &amp; Zinkel DF (1977) Resin acids, resin crystallization, and weevilling in Balkan X eastern white pine hybrids. </w:t>
      </w:r>
      <w:r>
        <w:rPr>
          <w:rFonts w:ascii="Calibri" w:hAnsi="Calibri" w:eastAsia="Calibri" w:cs="Calibri"/>
          <w:i/>
          <w:iCs/>
          <w:color w:val="000000"/>
          <w:sz w:val="22"/>
          <w:szCs w:val="22"/>
        </w:rPr>
        <w:t xml:space="preserve">Proceedings of the 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Northeastern Forest Tree Improvement Conference</w:t>
      </w:r>
      <w:r>
        <w:rPr>
          <w:rFonts w:ascii="Calibri" w:hAnsi="Calibri" w:eastAsia="Calibri" w:cs="Calibri"/>
          <w:color w:val="000000"/>
          <w:sz w:val="22"/>
          <w:szCs w:val="22"/>
        </w:rPr>
        <w:t xml:space="preserve">, pp. 165-175. United States Department of Agriculture, Forest Service, Northeastern Forest Experiment Station, Darby, PA.</w:t>
      </w:r>
    </w:p>
    <w:p>
      <w:pPr>
        <w:widowControl w:val="on"/>
        <w:pBdr/>
        <w:spacing w:before="220" w:after="220" w:line="240" w:lineRule="auto"/>
        <w:ind w:left="0" w:right="0"/>
        <w:jc w:val="left"/>
      </w:pPr>
      <w:r>
        <w:rPr>
          <w:rFonts w:ascii="Calibri" w:hAnsi="Calibri" w:eastAsia="Calibri" w:cs="Calibri"/>
          <w:color w:val="000000"/>
          <w:sz w:val="22"/>
          <w:szCs w:val="22"/>
        </w:rPr>
        <w:t xml:space="preserve">Smith SG &amp; Sugden BA (1969) Host trees and breeding sites of native North American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bark weevils, with a note on synonymy.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146-148.</w:t>
      </w:r>
    </w:p>
    <w:p>
      <w:pPr>
        <w:widowControl w:val="on"/>
        <w:pBdr/>
        <w:spacing w:before="220" w:after="220" w:line="240" w:lineRule="auto"/>
        <w:ind w:left="0" w:right="0"/>
        <w:jc w:val="left"/>
      </w:pPr>
      <w:r>
        <w:rPr>
          <w:rFonts w:ascii="Calibri" w:hAnsi="Calibri" w:eastAsia="Calibri" w:cs="Calibri"/>
          <w:color w:val="000000"/>
          <w:sz w:val="22"/>
          <w:szCs w:val="22"/>
        </w:rPr>
        <w:t xml:space="preserve">Taylor SP, Alfaro RI, Delong C &amp; Rankin L (1996) The effects of overstory shading on white pine weevil damage to white spruces and its effects on spruce growth rates.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306-312.</w:t>
      </w:r>
    </w:p>
    <w:p>
      <w:pPr>
        <w:widowControl w:val="on"/>
        <w:pBdr/>
        <w:spacing w:before="220" w:after="220" w:line="240" w:lineRule="auto"/>
        <w:ind w:left="0" w:right="0"/>
        <w:jc w:val="left"/>
      </w:pPr>
      <w:r>
        <w:rPr>
          <w:rFonts w:ascii="Calibri" w:hAnsi="Calibri" w:eastAsia="Calibri" w:cs="Calibri"/>
          <w:color w:val="000000"/>
          <w:sz w:val="22"/>
          <w:szCs w:val="22"/>
        </w:rPr>
        <w:t xml:space="preserve">Timonin M &amp; Morris ON (1974) Pathogenicity of some entomogenous fungi, their compatibility and integrated activity with chemical insecticides against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(Peck). </w:t>
      </w:r>
      <w:r>
        <w:rPr>
          <w:rFonts w:ascii="Calibri" w:hAnsi="Calibri" w:eastAsia="Calibri" w:cs="Calibri"/>
          <w:i/>
          <w:iCs/>
          <w:color w:val="000000"/>
          <w:sz w:val="22"/>
          <w:szCs w:val="22"/>
        </w:rPr>
        <w:t xml:space="preserve">Information Report</w:t>
      </w:r>
      <w:r>
        <w:rPr>
          <w:rFonts w:ascii="Calibri" w:hAnsi="Calibri" w:eastAsia="Calibri" w:cs="Calibri"/>
          <w:color w:val="000000"/>
          <w:sz w:val="22"/>
          <w:szCs w:val="22"/>
        </w:rPr>
        <w:t xml:space="preserve"> CC-X-69. Canadian Forest Service, Chemical Control Research Institute, Ottawa, ON, 22 pp.</w:t>
      </w:r>
    </w:p>
    <w:p>
      <w:pPr>
        <w:widowControl w:val="on"/>
        <w:pBdr/>
        <w:spacing w:before="220" w:after="220" w:line="240" w:lineRule="auto"/>
        <w:ind w:left="0" w:right="0"/>
        <w:jc w:val="left"/>
      </w:pPr>
      <w:r>
        <w:rPr>
          <w:rFonts w:ascii="Calibri" w:hAnsi="Calibri" w:eastAsia="Calibri" w:cs="Calibri"/>
          <w:color w:val="000000"/>
          <w:sz w:val="22"/>
          <w:szCs w:val="22"/>
        </w:rPr>
        <w:t xml:space="preserve">Tomlin ES &amp; Borden JH (1997) Thin bark and high density of outer resin ducts: interrelated resistance traits in Sitka spruce against the white pine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235-239.</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&amp; Bauce E (2001) Oviposition biology of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(Coleoptera: Curculionidae) on white pine (Pinaceae) under laboratory conditions.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333-341.</w:t>
      </w:r>
    </w:p>
    <w:p>
      <w:pPr>
        <w:widowControl w:val="on"/>
        <w:pBdr/>
        <w:spacing w:before="220" w:after="220" w:line="240" w:lineRule="auto"/>
        <w:ind w:left="0" w:right="0"/>
        <w:jc w:val="left"/>
      </w:pPr>
      <w:r>
        <w:rPr>
          <w:rFonts w:ascii="Calibri" w:hAnsi="Calibri" w:eastAsia="Calibri" w:cs="Calibri"/>
          <w:color w:val="000000"/>
          <w:sz w:val="22"/>
          <w:szCs w:val="22"/>
        </w:rPr>
        <w:t xml:space="preserve">Trudel R, Lavallée R, Guertin C, Côté C, Todorova SI, Algaro R &amp; Kope H (2007)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(Hyphomycetes: Moniliales) for controlling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(Col., Curculionidae).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90-97. </w:t>
      </w:r>
      <w:hyperlink r:id="rId42436803ceff5b41f" w:history="1">
        <w:r>
          <w:rPr>
            <w:rFonts w:ascii="Calibri" w:hAnsi="Calibri" w:eastAsia="Calibri" w:cs="Calibri"/>
            <w:color w:val="0000CC"/>
            <w:sz w:val="22"/>
            <w:szCs w:val="22"/>
            <w:u w:val="single"/>
          </w:rPr>
          <w:t xml:space="preserve">https://doi.org/10.1111/j.1439-0418.2006.01127.x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329-343.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KH &amp; Baisinger DH (1955) The silvicultural importance of the Sitka spruce weevil in coastal Oregon and Washington. </w:t>
      </w:r>
      <w:r>
        <w:rPr>
          <w:rFonts w:ascii="Calibri" w:hAnsi="Calibri" w:eastAsia="Calibri" w:cs="Calibri"/>
          <w:i/>
          <w:iCs/>
          <w:color w:val="000000"/>
          <w:sz w:val="22"/>
          <w:szCs w:val="22"/>
        </w:rPr>
        <w:t xml:space="preserve">Proceedings of the National Meeting of the American Society of Foresters, 1955.</w:t>
      </w:r>
      <w:r>
        <w:rPr>
          <w:rFonts w:ascii="Calibri" w:hAnsi="Calibri" w:eastAsia="Calibri" w:cs="Calibri"/>
          <w:color w:val="000000"/>
          <w:sz w:val="22"/>
          <w:szCs w:val="22"/>
        </w:rPr>
        <w:t xml:space="preserve"> pp. 64-67, Society of American Foresters,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EPPO datasheets on pests recommended for regulation. Available online. </w:t>
      </w:r>
      <w:hyperlink r:id="rId64646803ceff5b7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51816803ceff5b942" w:history="1">
        <w:r>
          <w:rPr>
            <w:rFonts w:ascii="Calibri" w:hAnsi="Calibri" w:eastAsia="Calibri" w:cs="Calibri"/>
            <w:color w:val="0000CC"/>
            <w:sz w:val="22"/>
            <w:szCs w:val="22"/>
            <w:u w:val="single"/>
          </w:rPr>
          <w:t xml:space="preserve">https://doi.org/10.1111/j.1365-2338.1980.tb02698.x</w:t>
        </w:r>
      </w:hyperlink>
    </w:p>
    <w:p>
      <w:r>
        <w:drawing>
          <wp:inline distT="0" distB="0" distL="0" distR="0">
            <wp:extent cx="1800000" cy="604800"/>
            <wp:docPr id="66551515" name="name28866803ceff5b9a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446803ceff5b9a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103605">
    <w:multiLevelType w:val="hybridMultilevel"/>
    <w:lvl w:ilvl="0" w:tplc="49852971">
      <w:start w:val="1"/>
      <w:numFmt w:val="decimal"/>
      <w:lvlText w:val="%1."/>
      <w:lvlJc w:val="left"/>
      <w:pPr>
        <w:ind w:left="720" w:hanging="360"/>
      </w:pPr>
    </w:lvl>
    <w:lvl w:ilvl="1" w:tplc="49852971" w:tentative="1">
      <w:start w:val="1"/>
      <w:numFmt w:val="lowerLetter"/>
      <w:lvlText w:val="%2."/>
      <w:lvlJc w:val="left"/>
      <w:pPr>
        <w:ind w:left="1440" w:hanging="360"/>
      </w:pPr>
    </w:lvl>
    <w:lvl w:ilvl="2" w:tplc="49852971" w:tentative="1">
      <w:start w:val="1"/>
      <w:numFmt w:val="lowerRoman"/>
      <w:lvlText w:val="%3."/>
      <w:lvlJc w:val="right"/>
      <w:pPr>
        <w:ind w:left="2160" w:hanging="180"/>
      </w:pPr>
    </w:lvl>
    <w:lvl w:ilvl="3" w:tplc="49852971" w:tentative="1">
      <w:start w:val="1"/>
      <w:numFmt w:val="decimal"/>
      <w:lvlText w:val="%4."/>
      <w:lvlJc w:val="left"/>
      <w:pPr>
        <w:ind w:left="2880" w:hanging="360"/>
      </w:pPr>
    </w:lvl>
    <w:lvl w:ilvl="4" w:tplc="49852971" w:tentative="1">
      <w:start w:val="1"/>
      <w:numFmt w:val="lowerLetter"/>
      <w:lvlText w:val="%5."/>
      <w:lvlJc w:val="left"/>
      <w:pPr>
        <w:ind w:left="3600" w:hanging="360"/>
      </w:pPr>
    </w:lvl>
    <w:lvl w:ilvl="5" w:tplc="49852971" w:tentative="1">
      <w:start w:val="1"/>
      <w:numFmt w:val="lowerRoman"/>
      <w:lvlText w:val="%6."/>
      <w:lvlJc w:val="right"/>
      <w:pPr>
        <w:ind w:left="4320" w:hanging="180"/>
      </w:pPr>
    </w:lvl>
    <w:lvl w:ilvl="6" w:tplc="49852971" w:tentative="1">
      <w:start w:val="1"/>
      <w:numFmt w:val="decimal"/>
      <w:lvlText w:val="%7."/>
      <w:lvlJc w:val="left"/>
      <w:pPr>
        <w:ind w:left="5040" w:hanging="360"/>
      </w:pPr>
    </w:lvl>
    <w:lvl w:ilvl="7" w:tplc="49852971" w:tentative="1">
      <w:start w:val="1"/>
      <w:numFmt w:val="lowerLetter"/>
      <w:lvlText w:val="%8."/>
      <w:lvlJc w:val="left"/>
      <w:pPr>
        <w:ind w:left="5760" w:hanging="360"/>
      </w:pPr>
    </w:lvl>
    <w:lvl w:ilvl="8" w:tplc="49852971" w:tentative="1">
      <w:start w:val="1"/>
      <w:numFmt w:val="lowerRoman"/>
      <w:lvlText w:val="%9."/>
      <w:lvlJc w:val="right"/>
      <w:pPr>
        <w:ind w:left="6480" w:hanging="180"/>
      </w:pPr>
    </w:lvl>
  </w:abstractNum>
  <w:abstractNum w:abstractNumId="58103604">
    <w:multiLevelType w:val="hybridMultilevel"/>
    <w:lvl w:ilvl="0" w:tplc="7578729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103604">
    <w:abstractNumId w:val="58103604"/>
  </w:num>
  <w:num w:numId="58103605">
    <w:abstractNumId w:val="5810360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59982357" Type="http://schemas.microsoft.com/office/2011/relationships/commentsExtended" Target="commentsExtended.xml"/><Relationship Id="rId200386968" Type="http://schemas.microsoft.com/office/2011/relationships/people" Target="people.xml"/><Relationship Id="rId38256803ceff562cb" Type="http://schemas.openxmlformats.org/officeDocument/2006/relationships/hyperlink" Target="https://gd.eppo.int/taxon/PISOST/" TargetMode="External"/><Relationship Id="rId63476803ceff56333" Type="http://schemas.openxmlformats.org/officeDocument/2006/relationships/hyperlink" Target="https://gd.eppo.int/taxon/PISOST/categorization" TargetMode="External"/><Relationship Id="rId53526803ceff56f72" Type="http://schemas.openxmlformats.org/officeDocument/2006/relationships/hyperlink" Target="https://gd.eppo.int/taxon/PISOST/photos" TargetMode="External"/><Relationship Id="rId88636803ceff5a206" Type="http://schemas.openxmlformats.org/officeDocument/2006/relationships/hyperlink" Target="https://eur-lex.europa.eu/legal-content/EN/TXT/?uri=CELEX%3A32019R2072" TargetMode="External"/><Relationship Id="rId42436803ceff5b41f" Type="http://schemas.openxmlformats.org/officeDocument/2006/relationships/hyperlink" Target="https://doi.org/10.1111/j.1439-0418.2006.01127.x" TargetMode="External"/><Relationship Id="rId64646803ceff5b7d0" Type="http://schemas.openxmlformats.org/officeDocument/2006/relationships/hyperlink" Target="https://gd.eppo.int" TargetMode="External"/><Relationship Id="rId51816803ceff5b942" Type="http://schemas.openxmlformats.org/officeDocument/2006/relationships/hyperlink" Target="https://doi.org/10.1111/j.1365-2338.1980.tb02698.x" TargetMode="External"/><Relationship Id="rId22786803ceff56e1f" Type="http://schemas.openxmlformats.org/officeDocument/2006/relationships/image" Target="media/imgrId22786803ceff56e1f.jpg"/><Relationship Id="rId19216803ceff5841e" Type="http://schemas.openxmlformats.org/officeDocument/2006/relationships/image" Target="media/imgrId19216803ceff5841e.jpg"/><Relationship Id="rId16446803ceff5b9ac" Type="http://schemas.openxmlformats.org/officeDocument/2006/relationships/image" Target="media/imgrId16446803ceff5b9a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