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strobi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strobi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engelmanni</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sitchensis</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Engelmann-spruce weevil, Sitka-spruce weevil, white-pine weevil</w:t>
            </w:r>
            <w:hyperlink r:id="rId5996669e6c249556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93669e6c24955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278251" name="name2692669e6c2495e55" descr="14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5.jpg"/>
                          <pic:cNvPicPr/>
                        </pic:nvPicPr>
                        <pic:blipFill>
                          <a:blip r:embed="rId5813669e6c2495e53" cstate="print"/>
                          <a:stretch>
                            <a:fillRect/>
                          </a:stretch>
                        </pic:blipFill>
                        <pic:spPr>
                          <a:xfrm>
                            <a:off x="0" y="0"/>
                            <a:ext cx="2160000" cy="1281600"/>
                          </a:xfrm>
                          <a:prstGeom prst="rect">
                            <a:avLst/>
                          </a:prstGeom>
                          <a:ln w="0">
                            <a:noFill/>
                          </a:ln>
                        </pic:spPr>
                      </pic:pic>
                    </a:graphicData>
                  </a:graphic>
                </wp:inline>
              </w:drawing>
            </w:r>
            <w:hyperlink r:id="rId9079669e6c2495f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Much information about this species is published under the junior synonyms </w:t>
      </w:r>
      <w:r>
        <w:rPr>
          <w:rFonts w:ascii="Calibri" w:hAnsi="Calibri" w:eastAsia="Calibri" w:cs="Calibri"/>
          <w:i/>
          <w:iCs/>
          <w:color w:val="000000"/>
          <w:sz w:val="22"/>
          <w:szCs w:val="22"/>
        </w:rPr>
        <w:t xml:space="preserve">P. engelmanni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known to naturally hybridize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eastern North America and produce viable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confined to coniferous trees and almost exclusively infests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throughout its range. It attacks mainly Sitka spruce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along the Pacific coast of North America,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and their hybrids in British Columbia and Pacific Northwest states, white spruce in the Canadian Prairie Provinces and US Great Plains,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in the eastern half of Canada, and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Eastern Canada and North-Eastern USA.Many other native pines and spruces also serve as hosts.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also readily attacks and successfully breeds in several tree species native to the EPPO region that are planted in North America.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is commonly infested in Eastern Canada and is even preferred for oviposition over the native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(Hamel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 Vancouver Island, the European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proved as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as the native Sitka spruce (Hulme &amp; Dawson, 1992).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is also readily colonized in North American plantations (Khalil, 1969; Klein, 1971). A comprehensive list of host plants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balfouriana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flexilis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has a large distribution in North America ranging from Alaska and the southern part of Northwest Territories south to California, Arizona and New Mexico, across the entirety of Canada (except for Newfoundland and Labrador) and adjacent states, and throughout the North-Eastern USA as far south as Georgia and Tennessee. Old records from Mexico and Newfoundland are incorrect.</w:t>
      </w:r>
    </w:p>
    <w:p>
      <w:r>
        <w:drawing>
          <wp:inline distT="0" distB="0" distL="0" distR="0">
            <wp:extent cx="6120000" cy="3067200"/>
            <wp:docPr id="60281807" name="name5121669e6c24970f8" descr="PISO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ST_distribution_map.jpg"/>
                    <pic:cNvPicPr/>
                  </pic:nvPicPr>
                  <pic:blipFill>
                    <a:blip r:embed="rId8871669e6c24970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Prince Edward Island, Québec, Saskatchewan), United States of America (Alaska, Arizona, California, Colorado, Connecticut, Delaware, Georgia, Idaho, Illinois, Indiana, Iowa, Maine, Maryland, Massachusetts, Michigan, Minnesota, Montana, New Hampshire, New Jersey, New Mexico, New York, North Carolina, North Dakota, Ohio, Oregon, Pennsylvania, Rhode Island, South Carolina, Tennessee,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well documented (e.g., Alfaro, 1994; Hamid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these publications are the main sources utilized for this summary. Adults overwinter in the leaf litter. They leave their hibernation sites in March to late April and walk or fly to host trees where they feed on the previous year’s terminal leader (referred to as ‘terminal’ from here on). There can be more than one terminal on a tree and 1-3 of these can be attacked in the same year. It is not known how far adults can disperse in a season, but they probably travel only far enough to find suitable hosts, which is typically tens to hundreds of metres in forests where there has been harvesting activity and thus where there are plentiful young, regenerating trees. Adults tend to select host trees with the longest and thickest terminal leaders, and these are usually open growing individuals. Adults feed on the inner bark and cambium, chewing a hole of about 1.0-1.5 mm in diameter through the bark to reach these tissues. Feeding is usually concentrated in the apical half of the previous year’s terminal, but can extend over its entirety when weevil populations are high. Adult feeding activity is influenced by chemical stimulants in the bark (Alfaro &amp; Borden, 1985). During feeding, males produce an aggregation pheromone consisting of grandisol and grandisal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Mating occurs on the terminal. A few days after the start of adult feeding, oviposition commences whereby eggs are laid in some of the feeding punctures, which are then termed oviposition punctures. Oviposition punctures are capped with a dark brown plug of excrement but punctures made only for feeding are not. In areas where there are very high weevil populations, oviposition can occur on the stem just below the emergence holes of the previous year, and larval feeding continues down the stem destroying additional years of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Typically one egg, but occasionally as many as four, are laid in each oviposition puncture. Adults usually remain on trees between late March and July. Air temperatures of at least 8°C are required for adult activity, and activity stops above 35°C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eastern white pine, females lay an average of 132 eggs (range 40-344) in the laboratory when supplied with unlimited host material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Most females oviposit in more than one terminal and most terminals contain eggs from more than one female. Many eggs and newly hatched larvae can be inundated with resin and killed. When eggs hatch, young larvae commence feeding in the phloem, moving downward in the terminal. Eventually feeding galleries coalesce forming feeding groups, and groups eventually join together to form a feeding ring that spans the circumference of the terminal, effectively girdling it. Larvae that hatch first and become part of the feeding ring tend to be most successful. Late hatching larvae and those that lag behind the feeding ring find little to eat and die of starvation, or are killed by insect predators under the bark. Larvae first feed in the phloem and as they grow they can also feed on the cambium and even outer wood. There are four larval instars, and third and fourth instars are attacked by hymenopterous parasitoids. Feeding continues for 5-6 weeks, and by late May pupae start to appear. Mature larvae excavate chambers in the outer wood, which can even reach the pith in thin terminals. Larvae chew off small shreds of wood which they use to line the walls of the so called ‘chip cocoon’, and pupate within.</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lasts 2-3 weeks and new callow adults remain in their chip cocoons for two weeks as their cuticle hardens. The adult emergence period extends from mid-July to late August or even to September in some cooler environments. Hardened adults chew round holes of 3-4 mm diameter through the bark to emerge. They then feed on buds and phloem of side branches and the stem for a few weeks. During this period mating can occur but there is a reproductive diapause. As temperatures decline in early autumn, new adults (and presumably surviving adults from the previous generation) move to the leaf litter to overwinter. Adults typically live only until autumn or winter, but a few can survive winter and live for an additional 1-3 years.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variation in phenology. In areas with cooler climates (e.g., higher latitudes and altitudes), some individuals may overwinter in the terminals as large larvae, pupae or callow 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occurs in relatively small numbers in natural, undisturbed mature conifer forests where they breed in young trees in open areas around edges of stands and in forest gaps caused by blowdown or disease. Populations may build up somewhat in young regenerating stands resulting from wildfire; however, the typical high stem density and presence of overtopping vegetation (e.g., hardwood trees) prevents devastating outbreaks. Industrial forest activities resulting in the creation of large expanses of young and open conifer plantations, many of them managed to eliminate competing vegetation, has been an advantage for this weevil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coastal Sitka spruce stands of British Columbia and Oregon, plantations start being attacked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by the time they are only five years old (Alfaro &amp; Omule, 1990;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Initially only a few trees are attacked but then populations can grow exponentially for 8-10 years. After this period of increase the rate of attack stabilizes at a high level (30-40%), with interannual fluctuations, for 10-20 years. This phase of stability represents an equilibrium between the weevil population level and food supply (i.e., number of leaders available for colonization). This phase of stability eventually gives way to a population decline phase when the plantation is 35-40 years old, when annual rate of attack declines, eventually to about 5%. At this point the growth rate of trees has declined, affecting quality of food supply, and the canopy has started to close, probably adversely affecting environmental conditions for the weevil. A similar epidemiological pattern has been observed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white spruce in the boreal forest of Alberta.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summarised in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 trees 0.5–9.0 m tall, but typically 1.5–8.0 m tall. The first signs of attack are visible in early spring on the previous year’s terminal growth of spruces and pines, often before all snow has melted from the ground. Beads of resin ooze from feeding punctures and the glistening resin is visible from up to 15 m away on sunny days. Upon close examination of terminal leaders, feeding punctures (1.0-1.5 mm diameter) are visible, particularly on the apical half of the previous year’s growth. The feeding of larvae eventually girdles the 2-year-old stem, killing it and the current year’s growth above it, causing the affected foliage to wilt, forming a shepherd’s crook, and fade to yellow or yellow-brown (in spruces) and yellow to rusty-red (in pines) by June. Dissection of discoloured terminals will reveal the presence of larvae, pupae, adults and/or empty chip cocoons in the bark or outer sapwood of the previous year’s terminal; however, as the larvae feed downward in the terminal, it is not uncommon for more than one and up to four years of terminal growth to be infested in one season. After adults emerge, they create circular emergence holes of 3-4 mm diameter in the bark. Dead terminals can remain on trees for many years (even decades) after beetles have emerged, and the presence on these of old adult feeding and oviposition punctures, larval feeding damage to phloem, chip cocoons in the outer wood and adult emergence holes can be used to identify old attacks. When the terminal leader dies, the main stem usually develops a major crook or fork, but these usually straighten out after 2-3 years if the stem is not attacked again. It is common for the same tree to be attacked in successive years with adults feeding and laying eggs in the stem just below the adult emergence holes of the previous generation. Trees attacked in successive years have a bushy appearance and deformed stems.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may be confused with those caused by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as both species attack the tops of trees and cause the terminal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(i.e., the western half of North America from southern parts of both Yukon and Northwest Territories south to Colorado and California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it is possible to distinguish these two species even as early as during feeding and oviposition as: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terminal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with most punctures on the upper half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mainly in the phloem and outer wood of the previous year’s terminal (or even further down the stem)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examination of mature larvae or adults is necessary for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0.4-0.5 mm wide (Plummer &amp; Pillsbury, 1929),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Detailed descriptions mature larvae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6-8 mm in length and are milk-white, but the mandibles, eyes, rostrum, prothorax and legs become medium brown before adult emergence (Plummer &amp; Pillsbury, 1929).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5-8 mm long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There is no easy way to discriminate between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distinct from native species in the EPPO region and from the terminal-infesting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morphology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also similar to that of another Nearctic species,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 predominantly bole-inhabiting species (Phillips &amp; Lanier, 1983) that also poses a risk to the EPPO region. The two species are not easily separated except using DNA barcodes. These two species overlap in range in eastern North America. There are forms that are intermediate between the two species and may represent hybrids.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typically attacks spruce and pine saplings ranging from 0.5-9.0 m tall and is most common on trees growing in plantations with an open canopy. More uncommonly, trees less than 0.5 m or greater than 9.0 m tall may be infested. Young saplings with copious resin droplets on the previous year’s stem growth should be investigated for signs of weevil attack such as feeding and oviposition punctures and presence of adults on the bark. Drooping of the terminal leader and eventual wilting and discoloration of foliage is also a sign of infestation. Removal of bark on previous year’s leader growth on trees suspected of being infested may reveal larval galleries in the phloem, sapwood and pith, pupae, callow adults, chip cocoons and round adult emergence holes in the bark. The presence of chip cocoons is certain evidence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damage.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spruces and pines, so detection of young spruces and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spruces for planting and Christmas trees. 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only the previous year’s leader (and sometimes an additional 1-3 years of stem growth), it is unlikely to be carried by wood commodities, isolated bark or wood packaging material (incl.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downward in the previous year’s leader growth and therefore kill at least two year’s height growth during the year of attack (previous and current), and sometimes an additional 1-3 years growth depending how far down the stem the larvae tunnel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After a leader dies, one or more of the side branches of the first live node below the dead terminal assumes leadership, resulting in a crooked or forked stem with a bushy top. Secondary organisms, especially heartwood rot fungi, may enter through the infested terminals (Ostrander &amp; Foster, 1957). Commonly, trees may be attacked in two or more successive years, with the new attacks (egg laying) commencing on the stem just below the emergence holes of adults of the previous generation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more cumulative attacks a tree sustains, the more severe the impact on stem quality and growth, which reduces the tree’s value for lumber production. Stem deformities can result in reduction of merchantable volume, and lumber can be degraded due to grain aberrations and bark encased knots at the site of the crooks (Ostrander, 1971; Brace, 1972). Small trees &lt;0.5 m tall may be infested down to the root collar in a single year, resulting in tree death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Stand development may also be affected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Sitka spruce in mixed plantations were virtually eliminated resulting in development into pure stands of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British Columbia (Alfaro &amp; Wegwitz, 1994)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Oregon and Washington (Wright &amp; Baisinger, 1955). The high susceptibility of Sitka spruce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virtually eliminated this species from reforestation programs in most of coastal British Columbia, Washington and Oregon (King &amp; Alfaro,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in Canada and the northern and eastern parts of the USA, this weevil is one of the most destructive pests of young spruce and pine plantations, especially of the native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as well as of the European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planted in North America. The losses to Sitka spruce in British Columbia as well as the relative benefits of pest management have been modelled (McMullen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In Ontario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reduced height growth by over 3 m and merchantable volume by 3-20%, resulting in a reduction in timber value by 25% (Brace, 1972). Also, in Ontario from 1980-1983, growth losses in plantations were estimated at 8000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and annual losses due to culling were estimated at 10 400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plantations and 5000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natural stands (Gross, 1985). In New Hampshire, weevil-caused volume loss to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was about 40% in the saw-log portion of trees (Godwin &amp; Reeks,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ethanol and turpentine have been used to monitor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a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Christmas tree plantation in Wisconsin (Rieske &amp; Raffa, 1993).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especially prevalent in open growing plantations of several conifer species. Once established, weevil populations increase quickly and remain high for many years. Control by pruning or application of pesticides is possible but typically annual interventions are required to keep weevil populations low. Such investment in pest management is economically feasible in only high value plantations (e.g., genetics trials, Christmas tree nurseries). Pruning infested leaders showing signs of wilting and discolouration of current year’s terminals can be effective if the entirety of the infested top is removed and the pruned material is destroyed before adults emerge by burning, burying or chipping. A new leader can be encouraged by clipping all but the strongest branch of the uppermost whorl, resulting in an improvement of stem form (Dirks, 1964).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reduce the population to acceptable levels, and regular pruning thereafter will likely be necessary to keep populations from building up again.</w:t>
      </w:r>
    </w:p>
    <w:p>
      <w:pPr>
        <w:widowControl w:val="on"/>
        <w:pBdr/>
        <w:spacing w:before="220" w:after="220" w:line="240" w:lineRule="auto"/>
        <w:ind w:left="0" w:right="0"/>
        <w:jc w:val="both"/>
      </w:pPr>
      <w:r>
        <w:rPr>
          <w:rFonts w:ascii="Calibri" w:hAnsi="Calibri" w:eastAsia="Calibri" w:cs="Calibri"/>
          <w:color w:val="000000"/>
          <w:sz w:val="22"/>
          <w:szCs w:val="22"/>
        </w:rPr>
        <w:t xml:space="preserve">Many pesticides have been tested for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Approved pesticides mixed with a commercial spreader/sticker to improve persistence on the tree may be applied to the previous year’s terminal growth in the spring before adult emergence from overwintering sites, thereby targeting feeding and ovipositing adults. Neem application to leaders containing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eggs and young larvae achieved 68-82% protection of leaders (Helson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Success is affected by the amount of precipitation following pesticide application. Stem implants containing the systemic insecticides oxydemeton-methyl or acephate have been used successfully against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on Sitka spruce in British Columbia (Fraser &amp; Heppner, 1993). Insect growth regulators such as Dimilin and precocene applied to leaders may be effective ovicides or sterilants under certain conditions (Retnakaran &amp; Smith,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potential biological control options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management. As there are several species of parasitoids that attack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it may be possible to augment parasitoid populations in plantations by caging pruned infested terminals in meshed cages whereby the mesh size is sufficiently fine to trap the robust weevils but coarse enough to allow escape of the slender parasitoids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Some parasitoids of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were identified as having good potential for introduction into North America for classical biological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(Hulme, 1994; Kenis &amp; Mills, 1994). Adults, larvae and pupae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were highly susceptible to several entomopathogenic fungi in laboratory tests (Timonin &amp; Morris, 1974; Kope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mixed plantations, shading of conifer hosts creates suboptimal environmental (cooler) conditions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may also interfere with host detection; however, shading also slows conifer growth. When crop trees are weevil-susceptible species, faster growing overstory trees (usually hardwoods) should not be all removed to increase conifer growth but rather a portion can be removed to maintain some shade while increasing conifer growth somewhat (Ledig &amp; Smith, 1981;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Reduced spacing between trees in plantations can also reduce weevil damage (Alfaro &amp; Omule, 1990), although this was not the case for Norway spruce in Quebec (Archambault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and introduced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have variants that appear to exhibit resistance to weevil attack or reproduction. Most work on genetic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occurred in Sitka spruce and eastern white pine. Resistance is related to relative amounts of different foliar and cortical chemicals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intensity of the induced resin response during injury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1996b), density of outer resin ducts (Tomlin &amp; Borden, 1997), crystallization of resin (Santamour &amp; Zinkel, 1977), and chemical-induced reduction of reproduction and progeny development and survival (Sahota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Breeding for genetic resistance to weevil attack could be utilized to complement silvicultural tactics in the management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1996a). Varieties of trees resistant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can be mass-propagated using somatic embryogenesis (Roberts, 1994). While there was some evidence for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Norway spruce, this species may not possess the defence mechanisms to fight off weevil attack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It is possible to breed for high‐quality,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-resistant Norway spruce reforestation stock with high accuracy achieved from single‐trait or multi‐trait genomic selection (Lenz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describe an integrated pest management (IPM) system relying on accurate hazard rating of plantation sites and continuous monitoring of attack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 serious pest of the non-native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planted in the EPPO region, and of the native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three very important timber species in Europe, and with an obvious potential to establish in the conditions of Northern Europe which resemble those of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clearly presents a serious risk for the EPPO region.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it is an occasional host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Canada (Humble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Finally, other species that are native and widespread in the EPPO region have been recorded as hosts, such as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to Europe, EPPO recommends that host plants for planting (except seeds) and cut branches (including Christmas trees)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As wood commodities and isolated bark are unlikely pathways (see Pathways for movement), phytosanitary measures are not detailed here. Measures for such commodities in relation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(1994) The white pine weevil in British Columbia: biology and damage.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7-22.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Borden JH (1985) Factors determining the feeding of the white pine weevil (Coleoptera: Curculionidae) on its coastal British Columbia host, Sitka spruce. </w:t>
      </w:r>
      <w:r>
        <w:rPr>
          <w:rFonts w:ascii="Calibri" w:hAnsi="Calibri" w:eastAsia="Calibri" w:cs="Calibri"/>
          <w:i/>
          <w:iCs/>
          <w:color w:val="000000"/>
          <w:sz w:val="22"/>
          <w:szCs w:val="22"/>
        </w:rPr>
        <w:t xml:space="preserve">Proceedings of the Entomological Society of Ontario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Borden JH, Fraser RG &amp; Yanchuk A (1995) The white pine weevil in British Columbia: basis for an integrated pest management system.</w:t>
      </w:r>
      <w:r>
        <w:rPr>
          <w:rFonts w:ascii="Calibri" w:hAnsi="Calibri" w:eastAsia="Calibri" w:cs="Calibri"/>
          <w:i/>
          <w:iCs/>
          <w:color w:val="000000"/>
          <w:sz w:val="22"/>
          <w:szCs w:val="22"/>
        </w:rPr>
        <w:t xml:space="preserve"> Forestry Chronicle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66-73.</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He F, Kiss G, King J &amp; Yanchuk A (1996a) Resistance of white spruce to white pine weevil: development of a resistance index.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Kiss GK &amp; Yanchuk A (1996b) Variation in the induced resin response of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to attack by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967-972.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Omule SAY (1990) The effect of spacing on Sitka spruce weevil damage to Sitka spruce.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Wegwitz E (1994) The spruce weevil in the Green Timbers Plantations.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222-225.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Archambault L, Morissette J, Lavallée R &amp; Comtois B (1993) Susceptibility of Norway spruce plantations to white pine weevil attacks in southern Quebec.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2362-2369.</w:t>
      </w:r>
    </w:p>
    <w:p>
      <w:pPr>
        <w:widowControl w:val="on"/>
        <w:pBdr/>
        <w:spacing w:before="220" w:after="220" w:line="240" w:lineRule="auto"/>
        <w:ind w:left="0" w:right="0"/>
        <w:jc w:val="left"/>
      </w:pPr>
      <w:r>
        <w:rPr>
          <w:rFonts w:ascii="Calibri" w:hAnsi="Calibri" w:eastAsia="Calibri" w:cs="Calibri"/>
          <w:color w:val="000000"/>
          <w:sz w:val="22"/>
          <w:szCs w:val="22"/>
        </w:rPr>
        <w:t xml:space="preserve">Booth DC, Phillips TW, Claesson A, Silverstein RM, Lanier GN &amp; West JR (1983) Aggregation pheromone components of two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isolation, identification and field activity.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Brace LG (1972) Weevil control could raise value of white pine by 25%. </w:t>
      </w:r>
      <w:r>
        <w:rPr>
          <w:rFonts w:ascii="Calibri" w:hAnsi="Calibri" w:eastAsia="Calibri" w:cs="Calibri"/>
          <w:i/>
          <w:iCs/>
          <w:color w:val="000000"/>
          <w:sz w:val="22"/>
          <w:szCs w:val="22"/>
        </w:rPr>
        <w:t xml:space="preserve">Canadian Forest Industry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42-45.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JE, Borden JH &amp; Pierce HD Jr (1987) Foliar and cortical monoterpenes in Sitka spruce: potential indicators of resistance to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740-745.</w:t>
      </w:r>
    </w:p>
    <w:p>
      <w:pPr>
        <w:widowControl w:val="on"/>
        <w:pBdr/>
        <w:spacing w:before="220" w:after="220" w:line="240" w:lineRule="auto"/>
        <w:ind w:left="0" w:right="0"/>
        <w:jc w:val="left"/>
      </w:pPr>
      <w:r>
        <w:rPr>
          <w:rFonts w:ascii="Calibri" w:hAnsi="Calibri" w:eastAsia="Calibri" w:cs="Calibri"/>
          <w:color w:val="000000"/>
          <w:sz w:val="22"/>
          <w:szCs w:val="22"/>
        </w:rPr>
        <w:t xml:space="preserve">Dirks CO (1964) The white pine weevil in Maine: its biology and dispersal and the effect of prompt clipping of infested leaders on trunk form.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625. University of Maine, Agriculture Experiment Station, Orono, Maine,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7323669e6c2498d9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[accessed on 25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RG &amp; Heppner DG (1993) Control of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on Sitka spruce using implants containing systemic insecticide.</w:t>
      </w:r>
      <w:r>
        <w:rPr>
          <w:rFonts w:ascii="Calibri" w:hAnsi="Calibri" w:eastAsia="Calibri" w:cs="Calibri"/>
          <w:i/>
          <w:iCs/>
          <w:color w:val="000000"/>
          <w:sz w:val="22"/>
          <w:szCs w:val="22"/>
        </w:rPr>
        <w:t xml:space="preserv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600-603.</w:t>
      </w:r>
    </w:p>
    <w:p>
      <w:pPr>
        <w:widowControl w:val="on"/>
        <w:pBdr/>
        <w:spacing w:before="220" w:after="220" w:line="240" w:lineRule="auto"/>
        <w:ind w:left="0" w:right="0"/>
        <w:jc w:val="left"/>
      </w:pPr>
      <w:r>
        <w:rPr>
          <w:rFonts w:ascii="Calibri" w:hAnsi="Calibri" w:eastAsia="Calibri" w:cs="Calibri"/>
          <w:color w:val="000000"/>
          <w:sz w:val="22"/>
          <w:szCs w:val="22"/>
        </w:rPr>
        <w:t xml:space="preserve">Godwin PA &amp; Reeks WA (1967) White-pine weevil. In </w:t>
      </w:r>
      <w:r>
        <w:rPr>
          <w:rFonts w:ascii="Calibri" w:hAnsi="Calibri" w:eastAsia="Calibri" w:cs="Calibri"/>
          <w:i/>
          <w:iCs/>
          <w:color w:val="000000"/>
          <w:sz w:val="22"/>
          <w:szCs w:val="22"/>
        </w:rPr>
        <w:t xml:space="preserve">Important forest insects and diseases of mutual concern to Canada, the USA and Mexico</w:t>
      </w:r>
      <w:r>
        <w:rPr>
          <w:rFonts w:ascii="Calibri" w:hAnsi="Calibri" w:eastAsia="Calibri" w:cs="Calibri"/>
          <w:color w:val="000000"/>
          <w:sz w:val="22"/>
          <w:szCs w:val="22"/>
        </w:rPr>
        <w:t xml:space="preserve"> (eds by Davidson AG &amp; Prentice RM), p. 148-151. Canadian Department of Forestry and Rural Development, Publication No. 1180, Ottawa, ON.</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HL (1985) Impact of pests on the white pine resource of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Hamel M, Bauce E &amp; Lavallee R (1994) Feeding and oviposition interspecific preferences of adult white pine weevil (Coleoptera: Curculionidae) in Quebec.</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923-929.</w:t>
      </w:r>
    </w:p>
    <w:p>
      <w:pPr>
        <w:widowControl w:val="on"/>
        <w:pBdr/>
        <w:spacing w:before="220" w:after="220" w:line="240" w:lineRule="auto"/>
        <w:ind w:left="0" w:right="0"/>
        <w:jc w:val="left"/>
      </w:pPr>
      <w:r>
        <w:rPr>
          <w:rFonts w:ascii="Calibri" w:hAnsi="Calibri" w:eastAsia="Calibri" w:cs="Calibri"/>
          <w:color w:val="000000"/>
          <w:sz w:val="22"/>
          <w:szCs w:val="22"/>
        </w:rPr>
        <w:t xml:space="preserve">Hamid A, Odell TM &amp; Katovich (1995) White pine weevil. </w:t>
      </w:r>
      <w:r>
        <w:rPr>
          <w:rFonts w:ascii="Calibri" w:hAnsi="Calibri" w:eastAsia="Calibri" w:cs="Calibri"/>
          <w:i/>
          <w:iCs/>
          <w:color w:val="000000"/>
          <w:sz w:val="22"/>
          <w:szCs w:val="22"/>
        </w:rPr>
        <w:t xml:space="preserve">Forest Insect and Disease Leaflet</w:t>
      </w:r>
      <w:r>
        <w:rPr>
          <w:rFonts w:ascii="Calibri" w:hAnsi="Calibri" w:eastAsia="Calibri" w:cs="Calibri"/>
          <w:color w:val="000000"/>
          <w:sz w:val="22"/>
          <w:szCs w:val="22"/>
        </w:rPr>
        <w:t xml:space="preserve"> 21. United States Department of Agriculture, Forest Service, Washington, DC, 10 pp.</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LJ, Borden JH, Pierce HD Jr &amp; Oehlschlager AC (1983) Cortical resin monoterpenes in Sitka spruce and resistance to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Helson B, DeGroot P, McFarlane J, Zylstra B &amp; Scarr T (1998) Leader and systematic applications of Neem EC formulations for control of white pine weevil (Coleoptera: Curculionidae) on jack pine and white pine. </w:t>
      </w:r>
      <w:r>
        <w:rPr>
          <w:rFonts w:ascii="Calibri" w:hAnsi="Calibri" w:eastAsia="Calibri" w:cs="Calibri"/>
          <w:i/>
          <w:iCs/>
          <w:color w:val="000000"/>
          <w:sz w:val="22"/>
          <w:szCs w:val="22"/>
        </w:rPr>
        <w:t xml:space="preserve">Proceedings of the Entomological Society of Ontario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3. Canadian Forest Service, Northern Forestry Centre, Edmonton, AB,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(1994) The potential of </w:t>
      </w:r>
      <w:r>
        <w:rPr>
          <w:rFonts w:ascii="Calibri" w:hAnsi="Calibri" w:eastAsia="Calibri" w:cs="Calibri"/>
          <w:i/>
          <w:iCs/>
          <w:color w:val="000000"/>
          <w:sz w:val="22"/>
          <w:szCs w:val="22"/>
        </w:rPr>
        <w:t xml:space="preserve">Allodorus crassigaster</w:t>
      </w:r>
      <w:r>
        <w:rPr>
          <w:rFonts w:ascii="Calibri" w:hAnsi="Calibri" w:eastAsia="Calibri" w:cs="Calibri"/>
          <w:color w:val="000000"/>
          <w:sz w:val="22"/>
          <w:szCs w:val="22"/>
        </w:rPr>
        <w:t xml:space="preserve">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294-300.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&amp; Dawson AF (1992) Serbian spruce is as vulnerable as Sitka spruce to damage by the Sitka spruce weevil. </w:t>
      </w:r>
      <w:r>
        <w:rPr>
          <w:rFonts w:ascii="Calibri" w:hAnsi="Calibri" w:eastAsia="Calibri" w:cs="Calibri"/>
          <w:i/>
          <w:iCs/>
          <w:color w:val="000000"/>
          <w:sz w:val="22"/>
          <w:szCs w:val="22"/>
        </w:rPr>
        <w:t xml:space="preserve">Western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Dawson AF &amp; Harris JWE (1986) Exploiting cold-hardiness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1115-1122.</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Harris JWE &amp; Dawson AF (1987) Exploiting adult girth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(Coleoptera: Curculionidae)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(Bong.) Carr.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Humble LM, Humphreys N &amp; Van Sickle GA (1994) Distribution and hosts of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Canada.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68-75.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Mills NJ (1994) Parasitoids of European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 Curculionidae) and their potential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in Canada.</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Khalil MAK (1969) Scotch pine: variation and performance in Minnesota. </w:t>
      </w:r>
      <w:r>
        <w:rPr>
          <w:rFonts w:ascii="Calibri" w:hAnsi="Calibri" w:eastAsia="Calibri" w:cs="Calibri"/>
          <w:i/>
          <w:iCs/>
          <w:color w:val="000000"/>
          <w:sz w:val="22"/>
          <w:szCs w:val="22"/>
        </w:rPr>
        <w:t xml:space="preserve">Journal of the Minnesota Academy of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114-117.</w:t>
      </w:r>
    </w:p>
    <w:p>
      <w:pPr>
        <w:widowControl w:val="on"/>
        <w:pBdr/>
        <w:spacing w:before="220" w:after="220" w:line="240" w:lineRule="auto"/>
        <w:ind w:left="0" w:right="0"/>
        <w:jc w:val="left"/>
      </w:pPr>
      <w:r>
        <w:rPr>
          <w:rFonts w:ascii="Calibri" w:hAnsi="Calibri" w:eastAsia="Calibri" w:cs="Calibri"/>
          <w:color w:val="000000"/>
          <w:sz w:val="22"/>
          <w:szCs w:val="22"/>
        </w:rPr>
        <w:t xml:space="preserve">King JN &amp; Alfaro RI (2004) Breeding for resistance to a shoot weevil of Sitka spruce in British Columbia, Canada. In </w:t>
      </w:r>
      <w:r>
        <w:rPr>
          <w:rFonts w:ascii="Calibri" w:hAnsi="Calibri" w:eastAsia="Calibri" w:cs="Calibri"/>
          <w:i/>
          <w:iCs/>
          <w:color w:val="000000"/>
          <w:sz w:val="22"/>
          <w:szCs w:val="22"/>
        </w:rPr>
        <w:t xml:space="preserve">Plantation Forest Biotechnology for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(eds Walter C &amp; Carson M), pp. 119-128. Research Signpost, Trivandrum, India.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JI (1971) Performance of Russian Scots pine populations in Manitoba and Ontario.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NOR-X-2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Canadian Forest Service, Northern Forest Research Centre, Edmonton, AB,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Kope HH, Alfaro RI &amp; Lavallée (2006) Virulence of the entomopathogenic fungus </w:t>
      </w:r>
      <w:r>
        <w:rPr>
          <w:rFonts w:ascii="Calibri" w:hAnsi="Calibri" w:eastAsia="Calibri" w:cs="Calibri"/>
          <w:i/>
          <w:iCs/>
          <w:color w:val="000000"/>
          <w:sz w:val="22"/>
          <w:szCs w:val="22"/>
        </w:rPr>
        <w:t xml:space="preserve">Lecanicillium</w:t>
      </w:r>
      <w:r>
        <w:rPr>
          <w:rFonts w:ascii="Calibri" w:hAnsi="Calibri" w:eastAsia="Calibri" w:cs="Calibri"/>
          <w:color w:val="000000"/>
          <w:sz w:val="22"/>
          <w:szCs w:val="22"/>
        </w:rPr>
        <w:t xml:space="preserve"> (Deuteromycota: Hyphomycetes) to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Forestry Canada, Northwest Region, Northern Forestry Centre, Edmonton, AB, 7 pp.</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Ledig FT &amp; Smith DM (1981) The influence of silvicultural practices on genetic improvement: height growth and weevil resistance in eastern white pine.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Lenz PRN, Nadeau S, Mottet MG, Perron M, Isabel N, Beaulieu J &amp; Bousquet J (2020) Multi-trait genomic selection for weevil resistance, growth, and wood quality in Norway spruce.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76-94.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Thomson AJ &amp; Quenet R (1987) Sitka spruce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population dynamics and control: a simulation model based on field relationships. </w:t>
      </w:r>
      <w:r>
        <w:rPr>
          <w:rFonts w:ascii="Calibri" w:hAnsi="Calibri" w:eastAsia="Calibri" w:cs="Calibri"/>
          <w:i/>
          <w:iCs/>
          <w:color w:val="000000"/>
          <w:sz w:val="22"/>
          <w:szCs w:val="22"/>
        </w:rPr>
        <w:t xml:space="preserve">Information Report </w:t>
      </w:r>
      <w:r>
        <w:rPr>
          <w:rFonts w:ascii="Calibri" w:hAnsi="Calibri" w:eastAsia="Calibri" w:cs="Calibri"/>
          <w:color w:val="000000"/>
          <w:sz w:val="22"/>
          <w:szCs w:val="22"/>
        </w:rPr>
        <w:t xml:space="preserve">BC-X-288. Canadian Forest Service, Pacific Forestry Centre, Victoria, BC, 20 pp.</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Wright KH &amp; Johnson NE (1990) Damage by the Sitka spruce weevil (Pissodes strobi and growth patterns for 10 spruce species and hybrids over 26 years in the Pacific Northwest. </w:t>
      </w:r>
      <w:r>
        <w:rPr>
          <w:rFonts w:ascii="Calibri" w:hAnsi="Calibri" w:eastAsia="Calibri" w:cs="Calibri"/>
          <w:i/>
          <w:iCs/>
          <w:color w:val="000000"/>
          <w:sz w:val="22"/>
          <w:szCs w:val="22"/>
        </w:rPr>
        <w:t xml:space="preserve">Research Paper </w:t>
      </w:r>
      <w:r>
        <w:rPr>
          <w:rFonts w:ascii="Calibri" w:hAnsi="Calibri" w:eastAsia="Calibri" w:cs="Calibri"/>
          <w:color w:val="000000"/>
          <w:sz w:val="22"/>
          <w:szCs w:val="22"/>
        </w:rPr>
        <w:t xml:space="preserve">PNW-RP-434. United States Department of Agriculture, Forest Service, Pacific Northwest Research Station, Portland, OR, 12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(1971) Identification and evaluation of defects in eastern white pine logs and trees. </w:t>
      </w:r>
      <w:r>
        <w:rPr>
          <w:rFonts w:ascii="Calibri" w:hAnsi="Calibri" w:eastAsia="Calibri" w:cs="Calibri"/>
          <w:i/>
          <w:iCs/>
          <w:color w:val="000000"/>
          <w:sz w:val="22"/>
          <w:szCs w:val="22"/>
        </w:rPr>
        <w:t xml:space="preserve">Research Paper</w:t>
      </w:r>
      <w:r>
        <w:rPr>
          <w:rFonts w:ascii="Calibri" w:hAnsi="Calibri" w:eastAsia="Calibri" w:cs="Calibri"/>
          <w:color w:val="000000"/>
          <w:sz w:val="22"/>
          <w:szCs w:val="22"/>
        </w:rPr>
        <w:t xml:space="preserve"> NE-190. United States Department of Agriculture, Forest Service, Northeastern Forest Experiment Station, Upper Darby, PA, 27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&amp; Foster CH (1957) Weevil red rot associations in eastern white pine. </w:t>
      </w:r>
      <w:r>
        <w:rPr>
          <w:rFonts w:ascii="Calibri" w:hAnsi="Calibri" w:eastAsia="Calibri" w:cs="Calibri"/>
          <w:i/>
          <w:iCs/>
          <w:color w:val="000000"/>
          <w:sz w:val="22"/>
          <w:szCs w:val="22"/>
        </w:rPr>
        <w:t xml:space="preserve">Research Notes</w:t>
      </w:r>
      <w:r>
        <w:rPr>
          <w:rFonts w:ascii="Calibri" w:hAnsi="Calibri" w:eastAsia="Calibri" w:cs="Calibri"/>
          <w:color w:val="000000"/>
          <w:sz w:val="22"/>
          <w:szCs w:val="22"/>
        </w:rPr>
        <w:t xml:space="preserve"> 68. United States Department of Agriculture, Forest Service, Northeastern Forest Experiment Station, Upper Darby, 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 pp.</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Plummer CC &amp; Pillsbury AE (1929) The white pine weevil in New Hampshire.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247. University of New Hampshire Experiment Station, Durham, NH, 32 pp.</w:t>
      </w:r>
    </w:p>
    <w:p>
      <w:pPr>
        <w:widowControl w:val="on"/>
        <w:pBdr/>
        <w:spacing w:before="220" w:after="220" w:line="240" w:lineRule="auto"/>
        <w:ind w:left="0" w:right="0"/>
        <w:jc w:val="left"/>
      </w:pPr>
      <w:r>
        <w:rPr>
          <w:rFonts w:ascii="Calibri" w:hAnsi="Calibri" w:eastAsia="Calibri" w:cs="Calibri"/>
          <w:color w:val="000000"/>
          <w:sz w:val="22"/>
          <w:szCs w:val="22"/>
        </w:rPr>
        <w:t xml:space="preserve">Poulin J, Lavallée R, Mauffette Y &amp; Rioux D (2006) White pine weevil performances in relation to budburst phenology and traumatic resin duct formation in Norway spruce.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129-137.</w:t>
      </w:r>
    </w:p>
    <w:p>
      <w:pPr>
        <w:widowControl w:val="on"/>
        <w:pBdr/>
        <w:spacing w:before="220" w:after="220" w:line="240" w:lineRule="auto"/>
        <w:ind w:left="0" w:right="0"/>
        <w:jc w:val="left"/>
      </w:pPr>
      <w:r>
        <w:rPr>
          <w:rFonts w:ascii="Calibri" w:hAnsi="Calibri" w:eastAsia="Calibri" w:cs="Calibri"/>
          <w:color w:val="000000"/>
          <w:sz w:val="22"/>
          <w:szCs w:val="22"/>
        </w:rPr>
        <w:t xml:space="preserve">Retnakaran A &amp; Smith L (1982) Reproductive effects of insect growth regulators on the white pine weevil,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The Canadian Entomologists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DR (1994) Somatic embryogenesis for mass propagation of weevil resistant spruce.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169-173.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Sahota TS, Manville JF &amp; White E (1994) Interactions between Sitka spruce weevil and its host,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(Bong.) Carr.: a new mechanism for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Jr &amp; Zinkel DF (1977) Resin acids, resin crystallization, and weevilling in Balkan X eastern white pine hybrids. </w:t>
      </w:r>
      <w:r>
        <w:rPr>
          <w:rFonts w:ascii="Calibri" w:hAnsi="Calibri" w:eastAsia="Calibri" w:cs="Calibri"/>
          <w:i/>
          <w:iCs/>
          <w:color w:val="000000"/>
          <w:sz w:val="22"/>
          <w:szCs w:val="22"/>
        </w:rPr>
        <w:t xml:space="preserve">Proceedings of the 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Northeastern Forest Tree Improvement Conference</w:t>
      </w:r>
      <w:r>
        <w:rPr>
          <w:rFonts w:ascii="Calibri" w:hAnsi="Calibri" w:eastAsia="Calibri" w:cs="Calibri"/>
          <w:color w:val="000000"/>
          <w:sz w:val="22"/>
          <w:szCs w:val="22"/>
        </w:rPr>
        <w:t xml:space="preserve">, pp. 165-175. United States Department of Agriculture, Forest Service, Northeastern Forest Experiment Station, Darby, PA.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SP, Alfaro RI, Delong C &amp; Rankin L (1996) The effects of overstory shading on white pine weevil damage to white spruces and its effects on spruce growth rates.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Timonin M &amp; Morris ON (1974) Pathogenicity of some entomogenous fungi, their compatibility and integrated activity with chemical insecticides against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CC-X-69. Canadian Forest Service, Chemical Control Research Institute, Ottawa, ON, 22 pp.</w:t>
      </w:r>
    </w:p>
    <w:p>
      <w:pPr>
        <w:widowControl w:val="on"/>
        <w:pBdr/>
        <w:spacing w:before="220" w:after="220" w:line="240" w:lineRule="auto"/>
        <w:ind w:left="0" w:right="0"/>
        <w:jc w:val="left"/>
      </w:pPr>
      <w:r>
        <w:rPr>
          <w:rFonts w:ascii="Calibri" w:hAnsi="Calibri" w:eastAsia="Calibri" w:cs="Calibri"/>
          <w:color w:val="000000"/>
          <w:sz w:val="22"/>
          <w:szCs w:val="22"/>
        </w:rPr>
        <w:t xml:space="preserve">Tomlin ES &amp; Borden JH (1997) Thin bark and high density of outer resin ducts: interrelated resistance traits in Sitka spruce against the white pine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235-239.</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&amp; Bauce E (2001) Oviposition biology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on white pine (Pinaceae) under laboratory conditions.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333-341.</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Guertin C, Côté C, Todorova SI, Algaro R &amp; Kope H (2007)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(Hyphomycetes: Moniliales) for controlling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90-97. </w:t>
      </w:r>
      <w:hyperlink r:id="rId6504669e6c249a0a9" w:history="1">
        <w:r>
          <w:rPr>
            <w:rFonts w:ascii="Calibri" w:hAnsi="Calibri" w:eastAsia="Calibri" w:cs="Calibri"/>
            <w:color w:val="0000CC"/>
            <w:sz w:val="22"/>
            <w:szCs w:val="22"/>
            <w:u w:val="single"/>
          </w:rPr>
          <w:t xml:space="preserve">https://doi.org/10.1111/j.1439-0418.2006.01127.x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329-343.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KH &amp; Baisinger DH (1955) The silvicultural importance of the Sitka spruce weevil in coastal Oregon and Washington. </w:t>
      </w:r>
      <w:r>
        <w:rPr>
          <w:rFonts w:ascii="Calibri" w:hAnsi="Calibri" w:eastAsia="Calibri" w:cs="Calibri"/>
          <w:i/>
          <w:iCs/>
          <w:color w:val="000000"/>
          <w:sz w:val="22"/>
          <w:szCs w:val="22"/>
        </w:rPr>
        <w:t xml:space="preserve">Proceedings of the National Meeting of the American Society of Foresters, 1955.</w:t>
      </w:r>
      <w:r>
        <w:rPr>
          <w:rFonts w:ascii="Calibri" w:hAnsi="Calibri" w:eastAsia="Calibri" w:cs="Calibri"/>
          <w:color w:val="000000"/>
          <w:sz w:val="22"/>
          <w:szCs w:val="22"/>
        </w:rPr>
        <w:t xml:space="preserve"> pp. 64-67, Society of American Foresters,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EPPO datasheets on pests recommended for regulation. Available online. </w:t>
      </w:r>
      <w:hyperlink r:id="rId6733669e6c249a46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1015669e6c249a5dd"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35934407" name="name3022669e6c249a6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64669e6c249a63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10350">
    <w:multiLevelType w:val="hybridMultilevel"/>
    <w:lvl w:ilvl="0" w:tplc="69750925">
      <w:start w:val="1"/>
      <w:numFmt w:val="decimal"/>
      <w:lvlText w:val="%1."/>
      <w:lvlJc w:val="left"/>
      <w:pPr>
        <w:ind w:left="720" w:hanging="360"/>
      </w:pPr>
    </w:lvl>
    <w:lvl w:ilvl="1" w:tplc="69750925" w:tentative="1">
      <w:start w:val="1"/>
      <w:numFmt w:val="lowerLetter"/>
      <w:lvlText w:val="%2."/>
      <w:lvlJc w:val="left"/>
      <w:pPr>
        <w:ind w:left="1440" w:hanging="360"/>
      </w:pPr>
    </w:lvl>
    <w:lvl w:ilvl="2" w:tplc="69750925" w:tentative="1">
      <w:start w:val="1"/>
      <w:numFmt w:val="lowerRoman"/>
      <w:lvlText w:val="%3."/>
      <w:lvlJc w:val="right"/>
      <w:pPr>
        <w:ind w:left="2160" w:hanging="180"/>
      </w:pPr>
    </w:lvl>
    <w:lvl w:ilvl="3" w:tplc="69750925" w:tentative="1">
      <w:start w:val="1"/>
      <w:numFmt w:val="decimal"/>
      <w:lvlText w:val="%4."/>
      <w:lvlJc w:val="left"/>
      <w:pPr>
        <w:ind w:left="2880" w:hanging="360"/>
      </w:pPr>
    </w:lvl>
    <w:lvl w:ilvl="4" w:tplc="69750925" w:tentative="1">
      <w:start w:val="1"/>
      <w:numFmt w:val="lowerLetter"/>
      <w:lvlText w:val="%5."/>
      <w:lvlJc w:val="left"/>
      <w:pPr>
        <w:ind w:left="3600" w:hanging="360"/>
      </w:pPr>
    </w:lvl>
    <w:lvl w:ilvl="5" w:tplc="69750925" w:tentative="1">
      <w:start w:val="1"/>
      <w:numFmt w:val="lowerRoman"/>
      <w:lvlText w:val="%6."/>
      <w:lvlJc w:val="right"/>
      <w:pPr>
        <w:ind w:left="4320" w:hanging="180"/>
      </w:pPr>
    </w:lvl>
    <w:lvl w:ilvl="6" w:tplc="69750925" w:tentative="1">
      <w:start w:val="1"/>
      <w:numFmt w:val="decimal"/>
      <w:lvlText w:val="%7."/>
      <w:lvlJc w:val="left"/>
      <w:pPr>
        <w:ind w:left="5040" w:hanging="360"/>
      </w:pPr>
    </w:lvl>
    <w:lvl w:ilvl="7" w:tplc="69750925" w:tentative="1">
      <w:start w:val="1"/>
      <w:numFmt w:val="lowerLetter"/>
      <w:lvlText w:val="%8."/>
      <w:lvlJc w:val="left"/>
      <w:pPr>
        <w:ind w:left="5760" w:hanging="360"/>
      </w:pPr>
    </w:lvl>
    <w:lvl w:ilvl="8" w:tplc="69750925" w:tentative="1">
      <w:start w:val="1"/>
      <w:numFmt w:val="lowerRoman"/>
      <w:lvlText w:val="%9."/>
      <w:lvlJc w:val="right"/>
      <w:pPr>
        <w:ind w:left="6480" w:hanging="180"/>
      </w:pPr>
    </w:lvl>
  </w:abstractNum>
  <w:abstractNum w:abstractNumId="46110349">
    <w:multiLevelType w:val="hybridMultilevel"/>
    <w:lvl w:ilvl="0" w:tplc="153788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10349">
    <w:abstractNumId w:val="46110349"/>
  </w:num>
  <w:num w:numId="46110350">
    <w:abstractNumId w:val="461103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2064482" Type="http://schemas.microsoft.com/office/2011/relationships/commentsExtended" Target="commentsExtended.xml"/><Relationship Id="rId650899899" Type="http://schemas.microsoft.com/office/2011/relationships/people" Target="people.xml"/><Relationship Id="rId5996669e6c2495569" Type="http://schemas.openxmlformats.org/officeDocument/2006/relationships/hyperlink" Target="https://gd.eppo.int/taxon/PISOST/" TargetMode="External"/><Relationship Id="rId2393669e6c24955d4" Type="http://schemas.openxmlformats.org/officeDocument/2006/relationships/hyperlink" Target="https://gd.eppo.int/taxon/PISOST/categorization" TargetMode="External"/><Relationship Id="rId9079669e6c2495f58" Type="http://schemas.openxmlformats.org/officeDocument/2006/relationships/hyperlink" Target="https://gd.eppo.int/taxon/PISOST/photos" TargetMode="External"/><Relationship Id="rId7323669e6c2498d9f" Type="http://schemas.openxmlformats.org/officeDocument/2006/relationships/hyperlink" Target="https://eur-lex.europa.eu/legal-content/EN/TXT/?uri=CELEX%3A32019R2072" TargetMode="External"/><Relationship Id="rId6504669e6c249a0a9" Type="http://schemas.openxmlformats.org/officeDocument/2006/relationships/hyperlink" Target="https://doi.org/10.1111/j.1439-0418.2006.01127.x" TargetMode="External"/><Relationship Id="rId6733669e6c249a46d" Type="http://schemas.openxmlformats.org/officeDocument/2006/relationships/hyperlink" Target="https://gd.eppo.int" TargetMode="External"/><Relationship Id="rId1015669e6c249a5dd" Type="http://schemas.openxmlformats.org/officeDocument/2006/relationships/hyperlink" Target="https://doi.org/10.1111/j.1365-2338.1980.tb02698.x" TargetMode="External"/><Relationship Id="rId5813669e6c2495e53" Type="http://schemas.openxmlformats.org/officeDocument/2006/relationships/image" Target="media/imgrId5813669e6c2495e53.jpg"/><Relationship Id="rId8871669e6c24970f6" Type="http://schemas.openxmlformats.org/officeDocument/2006/relationships/image" Target="media/imgrId8871669e6c24970f6.jpg"/><Relationship Id="rId6964669e6c249a63f" Type="http://schemas.openxmlformats.org/officeDocument/2006/relationships/image" Target="media/imgrId6964669e6c249a63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