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zitacuarense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zitacuarense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Sleeper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hyperlink r:id="rId1649679c9b88c42b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746679c9b88c430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PISOZI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1969 by Sleeper and there have been no taxonomic or nomenclatural changes since.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Known hosts of </w:t>
      </w: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include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brachyptera </w:t>
      </w:r>
      <w:r>
        <w:rPr>
          <w:rFonts w:ascii="Calibri" w:hAnsi="Calibri" w:eastAsia="Calibri" w:cs="Calibri"/>
          <w:color w:val="000000"/>
          <w:sz w:val="22"/>
          <w:szCs w:val="22"/>
        </w:rPr>
        <w:t xml:space="preserve">and var. </w:t>
      </w:r>
      <w:r>
        <w:rPr>
          <w:rFonts w:ascii="Calibri" w:hAnsi="Calibri" w:eastAsia="Calibri" w:cs="Calibri"/>
          <w:i/>
          <w:iCs/>
          <w:color w:val="000000"/>
          <w:sz w:val="22"/>
          <w:szCs w:val="22"/>
        </w:rPr>
        <w:t xml:space="preserve">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cooperi, Pinus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montezumae</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Pinus patula</w:t>
      </w:r>
      <w:r>
        <w:rPr>
          <w:rFonts w:ascii="Calibri" w:hAnsi="Calibri" w:eastAsia="Calibri" w:cs="Calibri"/>
          <w:color w:val="000000"/>
          <w:sz w:val="22"/>
          <w:szCs w:val="22"/>
        </w:rPr>
        <w:t xml:space="preserve"> (Sleeper, 1969; Pineda Torres &amp; Guerrero Alarcón, 1983;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cooperi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montezumae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veitchii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is currently only known from Mexico, where it occurs in several states in: Chihuahua, Coahuila, Cuidad de México, Durango, Hidalgo, Jalisco, Mexico, Michoacán, Morelos, and Puebla (Pineda Torres &amp; Guerrero Alarcón, 1983;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r>
        <w:drawing>
          <wp:inline distT="0" distB="0" distL="0" distR="0">
            <wp:extent cx="6120000" cy="3067200"/>
            <wp:docPr id="59664248" name="name7414679c9b88c550f" descr="PISOZ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ZI_distribution_map.jpg"/>
                    <pic:cNvPicPr/>
                  </pic:nvPicPr>
                  <pic:blipFill>
                    <a:blip r:embed="rId6196679c9b88c550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not been a comprehensive study of the phenology and biology of this species, and the extent of knowledge is based on anecdotal observations from several localities and host species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Adults have been observed on trees between April and October. In some locations in Central Mexico, pupae have been found during April to June. In the northernmost state of Chihuahua adults, pupae, and mature larvae have been found in July and it was predicted new adults would be present from August to September. Adults feed on the phloem of new shoots and on the most recent 4-5 internodes of the main trunk. To feed, adults insert their snouts through the outer bark to feed on the inner phloem, creating small punctures (a little less than 1 mm in diameter) in the bark. As with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adults are expected to require several weeks of feeding to become sexually mature. After mating females start to lay eggs in the tree trunk by first chewing a small hole through the bark to the phloem, then depositing 2-3 eggs per puncture before plugging the puncture with some macerated phloem. Upon hatching, larvae begin creating individual feeding galleries in the phloem that are mostly straight, and as the larvae grow the galleries grow wider and deeper, eventually scoring the cambium and outer xylem. Larvae generally feed downwards towards the base of the trunk. When the larva reaches maturity, it creates an oval pupation chamber in the outer sapwood and fills the exterior portion with shredded pieces of xylem. These chambers are called ‘chip cocoons’ and are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worldwide. In young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trees with thick phloem (&gt; 1 cm),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construct meandering feeding galleries limited to the phloem layer, and the pupal chamber is less oval and lacks a wood chip lining. The adult remains in the pupation chamber for several days while its cuticle hardens and darkens before emerging through a circular hole chewed through the pupal chambers and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most commonly attacks young trees in plantations, including Christmas tree plantations, and in densely stocked naturally regenerating stands, and therefore trees in such stands most commonly present symptoms (Cibrián Tovar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Feeding punctures on new shoots and on internodes up to five years old leak resin which is visible from a few metres away. Upon close inspection feeding punctures of almost 1 mm in diameter can be seen. Sometimes feeding punctures are so abundant that they can cause premature needle fall, shoot deformation, and a decrease in new shoot growth, which is conspicuous. As larvae feed in the phloem and obstruct the conducting tissue by mechanical damage and growth of weevil-vectored fungi, the new foliage begins to droop and change colour, first becoming yellowish and then gradually changing to greyish brown. The presence of chip cocoons under the bark and embedded in the surface of the xylem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although chip cocoons may persist for many years after they are vacated. When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attacks trees with phloem thickness of about 1 cm or more, pupation occurs entirely in the phloem and therefore the pupation chambers are not lined with wood chips. If the infestation is severe in small trees, and larval feeding and fungal invasion completely disrupts the phloem, the tree may die before the larvae mature.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Eggs are bright pearly-white, oval, smooth, on average 0.8 mm long and 0.5 mm wide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look like the eggs of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Mature larvae are at most 9 mm in length, legless, and the abdomen is cylindrical and slightly curved downwards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milky-white body contrasts with the light brown head. Superficially, larvae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closely resemble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and there is no detailed description of the larval stage to help distinguish this species from larvae of native species in the EPPO region.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Pupae are about 7 mm in length, have a snout, and are milk-white for a few days before gradually obtaining brown tones as they mature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Adults have been described in detail (Sleeper, 1969;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Herein, key morphological characteristics to distinguish this species from the nine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are provided based on unpublished taxonomic studies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by David Langor. Adult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range from 4-8 mm long. The base colour of the dorsal integument is orange brown, except for the tarsi and flagellum of the antennae which are distinctly and contrastingly brownish black (piceous) to black. The prothorax is slightly darker than the elytra.  As well, the black to piceous ventral integument, especially that of thorax and abdomen, contrasts with the orange brown dorsal integument of the elytra. The integument colour pattern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contrasts with all nine native species in the EPPO region. All native species in the EPPO region have a black to brownish black dorsal and ventral integument, and there is no distinct colour contrast along the length of legs and antennae. Although newly emerged adults of species native to the EPPO region are only partially hardened can resemble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in integument colour, colour contrasts within the legs and antennae will not be obvious. The bands of scales on the elytra also have diagnostic value (e.g., number of bands, colour patterns, presence/absence of anterior band). Each elytron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has near its posterior end a somewhat rectangular and transverse band of white scales that spans interstriae 2-5. Many specimens also have a small patch of ochre scales adjacent and slightly anterior to the band of white scales on interstriae 5-6. Also, most specimens have an oblique band of ochre scales on the anterior part of the elytron spanning interstriae 4-6. No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has this combination of integument colour and elytron scale pattern.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most commonly attacks young pine saplings growing in densely stocked stands of regenerating pines, but can also attack saplings growing more openly, e.g., in plantations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This weevil species target weakened, suppressed saplings in dense stands. Young pine saplings with resin droplets on the current year’s growth and on 1–5-year-old internodes should be investigated for signs of weevil attack such as feeding punctures and presence of adults on the bark. Drooping of recent growth and eventual discoloration of needles first to yellowish and then greyish brown is also a sign of possible infestation, and these saplings should be examined for presence of oviposition punctures and adults on the bark surface. Removal of bark on the trunk of saplings suspected of being infested may reveal larval galleries in the phloem, chip cocoons, pupae, callow adults and/or round adult emergence holes in the bark. There are five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that attack boles of pine trees in the EPPO region and adults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can be distinguished from those species using morphological characters as described above. DNA barcodes are not yet available for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disperse by flight and by walking, but it is not known how far they can naturally disperse in a season. It is possible that dispersal can be aided by human transport of infested saplings and foliage of host pine species in Mexico however, there are no records of such transport to the EPPO region. Long-distance transport via lumber, roundwood or dunnage is possible, although there is no evidence that Mexico ships such materials to the EPPO region. Christmas tree plantations of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are attacked by this weevil species, but these trees are used only domestically.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native pine species attacked by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are of economic importance in Mexico as they are utilized for pulp, lumber, roundwood, manufactured products, etc. (Chapela, 2012). These species are actively managed and there are plentiful plantations and naturally regenerating stands that may be attacked by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Tree damage and mortality in plantations causes an economic impact even though the scale of the impact has not been quantified. It was noted that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caused severe damage to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in the 1960s (Sleeper, 1969). This species also attacks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Christmas tree plantations and, although tree death does not typically occur, discolouration of the foliage and premature needle drop on infested trees lowers their sale value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densely stocked naturally regenerating pine stands,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typically attacks saplings that are stressed, e.g. by shading and competition, and thus functions as a secondary insect rather than as a primary pest. It may be that under these specific circumstances </w:t>
      </w:r>
      <w:r>
        <w:rPr>
          <w:rFonts w:ascii="Calibri" w:hAnsi="Calibri" w:eastAsia="Calibri" w:cs="Calibri"/>
          <w:i/>
          <w:iCs/>
          <w:color w:val="000000"/>
          <w:sz w:val="22"/>
          <w:szCs w:val="22"/>
        </w:rPr>
        <w:t xml:space="preserve">P. zitacuarense </w:t>
      </w:r>
      <w:r>
        <w:rPr>
          <w:rFonts w:ascii="Calibri" w:hAnsi="Calibri" w:eastAsia="Calibri" w:cs="Calibri"/>
          <w:color w:val="000000"/>
          <w:sz w:val="22"/>
          <w:szCs w:val="22"/>
        </w:rPr>
        <w:t xml:space="preserve">could have a positive economic impact by naturally thinning dense stands, perhaps reducing the need for silvicultural intervention (e.g., pre-commercial thinning). The susceptibility of pines undergoing silvicultural treatments or growing in plantations is frequently due to the suboptimal growing conditions (e.g., nutritional, environmental). In these conditions the insect is often an important factor undermining health of affected trees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Successful direct control measures against infestations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all occurred in plantations where persistent use of insecticides (e.g., lindane or sevin) against feeding adults was effective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As the foliage of infested trees droops and fades before new adults emerge, in situations where control is deemed necessary, removing and destroying infested trees could be effective as long as it is done before new adults emerge.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inadvertent introduction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from its native range in Mexico to the EPPO region via transportation on pine logs is likely to be very low as logs are not exported from Mexico to Europe. It would require the transportation of untreated dunnage and infested saplings or foliage samples to allow spread of this species, and movement of these materials is subject to high levels of regulation. If this weevil were to be transported to the EPPO region, it is likely that it could establish there. The species successfully colonizes at least ten pine species in Mexico and grows under a variety of environmental conditions there, so is likely to find an acceptable host and environmental conditions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(IPPC, 2019) will greatly decrease the risk of introduction of bark- and wood-boring insects, including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thoroughly checked for signs and symptoms of non-native species, including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Chapela G (2012) Competitividad de las empresas sociales forestales en México. Available at: </w:t>
      </w:r>
      <w:hyperlink r:id="rId7748679c9b88c61b7" w:history="1">
        <w:r>
          <w:rPr>
            <w:rFonts w:ascii="Calibri" w:hAnsi="Calibri" w:eastAsia="Calibri" w:cs="Calibri"/>
            <w:color w:val="0000CC"/>
            <w:sz w:val="22"/>
            <w:szCs w:val="22"/>
            <w:u w:val="single"/>
          </w:rPr>
          <w:t xml:space="preserve">http://www.ccmss.org.mx/wpcontent/uploads/2014/10/Problemas_y_oportunidades_en_el_mercado_para_las_empresas_sociales_forestales_en_Mexico.pdf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Cibrián Tovar D, Méndez Montiel JT, Campos Bolaños R, Yates HO, Flores Lara J (1995) Forest insects of Mexico. Universidad Autónoma Chapingo, Chapingo, Mexico, pp. 350-352.</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4353679c9b88c621a" w:history="1">
        <w:r>
          <w:rPr>
            <w:rFonts w:ascii="Calibri" w:hAnsi="Calibri" w:eastAsia="Calibri" w:cs="Calibri"/>
            <w:color w:val="0000CC"/>
            <w:sz w:val="22"/>
            <w:szCs w:val="22"/>
            <w:u w:val="single"/>
          </w:rPr>
          <w:t xml:space="preserve">https://www.ippc.int/en/publications/640/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CW (1989) Revision of the weevil genus</w:t>
      </w:r>
      <w:r>
        <w:rPr>
          <w:rFonts w:ascii="Calibri" w:hAnsi="Calibri" w:eastAsia="Calibri" w:cs="Calibri"/>
          <w:i/>
          <w:iCs/>
          <w:color w:val="000000"/>
          <w:sz w:val="22"/>
          <w:szCs w:val="22"/>
        </w:rPr>
        <w:t xml:space="preserve"> Pissodes</w:t>
      </w:r>
      <w:r>
        <w:rPr>
          <w:rFonts w:ascii="Calibri" w:hAnsi="Calibri" w:eastAsia="Calibri" w:cs="Calibri"/>
          <w:color w:val="000000"/>
          <w:sz w:val="22"/>
          <w:szCs w:val="22"/>
        </w:rPr>
        <w:t xml:space="preserve"> in Mexico with notes on Neotropical Pissodini (Coleoptera, Curculionidae).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415-432.</w:t>
      </w:r>
    </w:p>
    <w:p>
      <w:pPr>
        <w:widowControl w:val="on"/>
        <w:pBdr/>
        <w:spacing w:before="220" w:after="220" w:line="240" w:lineRule="auto"/>
        <w:ind w:left="0" w:right="0"/>
        <w:jc w:val="left"/>
      </w:pPr>
      <w:r>
        <w:rPr>
          <w:rFonts w:ascii="Calibri" w:hAnsi="Calibri" w:eastAsia="Calibri" w:cs="Calibri"/>
          <w:color w:val="000000"/>
          <w:sz w:val="22"/>
          <w:szCs w:val="22"/>
        </w:rPr>
        <w:t xml:space="preserve">Pineda Torres MC, Guerrero Alarcón ME (1983) Bionomía de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 sp. (Coleoptera : Curculionidae). Un descortezador de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Schl. Et Cham. Universidad Autónoma de Mexico, Escuela Nacional de Estudios Profesionales “Iztcala”, San Juan Itzacala, Mexico, pp. viii + 92 [Thesis]. Available at: </w:t>
      </w:r>
      <w:hyperlink r:id="rId4370679c9b88c63d3" w:history="1">
        <w:r>
          <w:rPr>
            <w:rFonts w:ascii="Calibri" w:hAnsi="Calibri" w:eastAsia="Calibri" w:cs="Calibri"/>
            <w:color w:val="0000CC"/>
            <w:sz w:val="22"/>
            <w:szCs w:val="22"/>
            <w:u w:val="single"/>
          </w:rPr>
          <w:t xml:space="preserve">http://132.248.9.195/ptd2014/anteriores/microformas/0040056/Index.html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Sleeper EL (1969) New Neotropical Curculionidae (Coleoptera). </w:t>
      </w:r>
      <w:r>
        <w:rPr>
          <w:rFonts w:ascii="Calibri" w:hAnsi="Calibri" w:eastAsia="Calibri" w:cs="Calibri"/>
          <w:i/>
          <w:iCs/>
          <w:color w:val="000000"/>
          <w:sz w:val="22"/>
          <w:szCs w:val="22"/>
        </w:rPr>
        <w:t xml:space="preserve">Bulletin of the Southern California Academy of Science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241-247.</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3010679c9b88c6521"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November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EPPO datasheets on pests recommended for regulation. Available online. </w:t>
      </w:r>
      <w:hyperlink r:id="rId9729679c9b88c65e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5305845" name="name5535679c9b88c67e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96679c9b88c67e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071779">
    <w:multiLevelType w:val="hybridMultilevel"/>
    <w:lvl w:ilvl="0" w:tplc="62401924">
      <w:start w:val="1"/>
      <w:numFmt w:val="decimal"/>
      <w:lvlText w:val="%1."/>
      <w:lvlJc w:val="left"/>
      <w:pPr>
        <w:ind w:left="720" w:hanging="360"/>
      </w:pPr>
    </w:lvl>
    <w:lvl w:ilvl="1" w:tplc="62401924" w:tentative="1">
      <w:start w:val="1"/>
      <w:numFmt w:val="lowerLetter"/>
      <w:lvlText w:val="%2."/>
      <w:lvlJc w:val="left"/>
      <w:pPr>
        <w:ind w:left="1440" w:hanging="360"/>
      </w:pPr>
    </w:lvl>
    <w:lvl w:ilvl="2" w:tplc="62401924" w:tentative="1">
      <w:start w:val="1"/>
      <w:numFmt w:val="lowerRoman"/>
      <w:lvlText w:val="%3."/>
      <w:lvlJc w:val="right"/>
      <w:pPr>
        <w:ind w:left="2160" w:hanging="180"/>
      </w:pPr>
    </w:lvl>
    <w:lvl w:ilvl="3" w:tplc="62401924" w:tentative="1">
      <w:start w:val="1"/>
      <w:numFmt w:val="decimal"/>
      <w:lvlText w:val="%4."/>
      <w:lvlJc w:val="left"/>
      <w:pPr>
        <w:ind w:left="2880" w:hanging="360"/>
      </w:pPr>
    </w:lvl>
    <w:lvl w:ilvl="4" w:tplc="62401924" w:tentative="1">
      <w:start w:val="1"/>
      <w:numFmt w:val="lowerLetter"/>
      <w:lvlText w:val="%5."/>
      <w:lvlJc w:val="left"/>
      <w:pPr>
        <w:ind w:left="3600" w:hanging="360"/>
      </w:pPr>
    </w:lvl>
    <w:lvl w:ilvl="5" w:tplc="62401924" w:tentative="1">
      <w:start w:val="1"/>
      <w:numFmt w:val="lowerRoman"/>
      <w:lvlText w:val="%6."/>
      <w:lvlJc w:val="right"/>
      <w:pPr>
        <w:ind w:left="4320" w:hanging="180"/>
      </w:pPr>
    </w:lvl>
    <w:lvl w:ilvl="6" w:tplc="62401924" w:tentative="1">
      <w:start w:val="1"/>
      <w:numFmt w:val="decimal"/>
      <w:lvlText w:val="%7."/>
      <w:lvlJc w:val="left"/>
      <w:pPr>
        <w:ind w:left="5040" w:hanging="360"/>
      </w:pPr>
    </w:lvl>
    <w:lvl w:ilvl="7" w:tplc="62401924" w:tentative="1">
      <w:start w:val="1"/>
      <w:numFmt w:val="lowerLetter"/>
      <w:lvlText w:val="%8."/>
      <w:lvlJc w:val="left"/>
      <w:pPr>
        <w:ind w:left="5760" w:hanging="360"/>
      </w:pPr>
    </w:lvl>
    <w:lvl w:ilvl="8" w:tplc="62401924" w:tentative="1">
      <w:start w:val="1"/>
      <w:numFmt w:val="lowerRoman"/>
      <w:lvlText w:val="%9."/>
      <w:lvlJc w:val="right"/>
      <w:pPr>
        <w:ind w:left="6480" w:hanging="180"/>
      </w:pPr>
    </w:lvl>
  </w:abstractNum>
  <w:abstractNum w:abstractNumId="59071778">
    <w:multiLevelType w:val="hybridMultilevel"/>
    <w:lvl w:ilvl="0" w:tplc="692422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071778">
    <w:abstractNumId w:val="59071778"/>
  </w:num>
  <w:num w:numId="59071779">
    <w:abstractNumId w:val="590717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0518217" Type="http://schemas.microsoft.com/office/2011/relationships/commentsExtended" Target="commentsExtended.xml"/><Relationship Id="rId884020350" Type="http://schemas.microsoft.com/office/2011/relationships/people" Target="people.xml"/><Relationship Id="rId1649679c9b88c42bb" Type="http://schemas.openxmlformats.org/officeDocument/2006/relationships/hyperlink" Target="https://gd.eppo.int/taxon/PISOZI/" TargetMode="External"/><Relationship Id="rId8746679c9b88c4300" Type="http://schemas.openxmlformats.org/officeDocument/2006/relationships/hyperlink" Target="https://gd.eppo.int/taxon/PISOZI/categorization" TargetMode="External"/><Relationship Id="rId7748679c9b88c61b7" Type="http://schemas.openxmlformats.org/officeDocument/2006/relationships/hyperlink" Target="http://www.ccmss.org.mx/wpcontent/uploads/2014/10/Problemas_y_oportunidades_en_el_mercado_para_las_empresas_sociales_forestales_en_Mexico.pdf" TargetMode="External"/><Relationship Id="rId4353679c9b88c621a" Type="http://schemas.openxmlformats.org/officeDocument/2006/relationships/hyperlink" Target="https://www.ippc.int/en/publications/640/" TargetMode="External"/><Relationship Id="rId4370679c9b88c63d3" Type="http://schemas.openxmlformats.org/officeDocument/2006/relationships/hyperlink" Target="http://132.248.9.195/ptd2014/anteriores/microformas/0040056/Index.html" TargetMode="External"/><Relationship Id="rId3010679c9b88c6521" Type="http://schemas.openxmlformats.org/officeDocument/2006/relationships/hyperlink" Target="https://efsa.onlinelibrary.wiley.com/doi/epdf/10.2903/sp.efsa.2020.EN-1910" TargetMode="External"/><Relationship Id="rId9729679c9b88c65e7" Type="http://schemas.openxmlformats.org/officeDocument/2006/relationships/hyperlink" Target="https://gd.eppo.int" TargetMode="External"/><Relationship Id="rId6196679c9b88c550c" Type="http://schemas.openxmlformats.org/officeDocument/2006/relationships/image" Target="media/imgrId6196679c9b88c550c.jpg"/><Relationship Id="rId5296679c9b88c67eb" Type="http://schemas.openxmlformats.org/officeDocument/2006/relationships/image" Target="media/imgrId5296679c9b88c67e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