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Megaplatypus mutatus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Megaplatypus mutatus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(Chapuis)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Platypodinae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Platypus mutatus</w:t>
            </w:r>
            <w:r>
              <w:rPr>
                <w:rFonts w:ascii="Calibri" w:hAnsi="Calibri" w:eastAsia="Calibri" w:cs="Calibri"/>
                <w:color w:val="000000"/>
                <w:position w:val="-3"/>
                <w:sz w:val="22"/>
                <w:szCs w:val="22"/>
              </w:rPr>
              <w:t xml:space="preserve"> Chapuis, </w:t>
            </w:r>
            <w:r>
              <w:rPr>
                <w:rFonts w:ascii="Calibri" w:hAnsi="Calibri" w:eastAsia="Calibri" w:cs="Calibri"/>
                <w:i/>
                <w:iCs/>
                <w:color w:val="000000"/>
                <w:position w:val="-3"/>
                <w:sz w:val="22"/>
                <w:szCs w:val="22"/>
              </w:rPr>
              <w:t xml:space="preserve">Platypus plicatus</w:t>
            </w:r>
            <w:r>
              <w:rPr>
                <w:rFonts w:ascii="Calibri" w:hAnsi="Calibri" w:eastAsia="Calibri" w:cs="Calibri"/>
                <w:color w:val="000000"/>
                <w:position w:val="-3"/>
                <w:sz w:val="22"/>
                <w:szCs w:val="22"/>
              </w:rPr>
              <w:t xml:space="preserve"> Brèthes, </w:t>
            </w:r>
            <w:r>
              <w:rPr>
                <w:rFonts w:ascii="Calibri" w:hAnsi="Calibri" w:eastAsia="Calibri" w:cs="Calibri"/>
                <w:i/>
                <w:iCs/>
                <w:color w:val="000000"/>
                <w:position w:val="-3"/>
                <w:sz w:val="22"/>
                <w:szCs w:val="22"/>
              </w:rPr>
              <w:t xml:space="preserve">Platypus sulcatus</w:t>
            </w:r>
            <w:r>
              <w:rPr>
                <w:rFonts w:ascii="Calibri" w:hAnsi="Calibri" w:eastAsia="Calibri" w:cs="Calibri"/>
                <w:color w:val="000000"/>
                <w:position w:val="-3"/>
                <w:sz w:val="22"/>
                <w:szCs w:val="22"/>
              </w:rPr>
              <w:t xml:space="preserve"> Chapuis</w:t>
            </w:r>
            <w:hyperlink r:id="rId23816803a641378d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0416803a6413791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PLTPMU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993454" name="name70966803a641380c9" descr="1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4.jpg"/>
                          <pic:cNvPicPr/>
                        </pic:nvPicPr>
                        <pic:blipFill>
                          <a:blip r:embed="rId48656803a641380c7" cstate="print"/>
                          <a:stretch>
                            <a:fillRect/>
                          </a:stretch>
                        </pic:blipFill>
                        <pic:spPr>
                          <a:xfrm>
                            <a:off x="0" y="0"/>
                            <a:ext cx="2160000" cy="1281600"/>
                          </a:xfrm>
                          <a:prstGeom prst="rect">
                            <a:avLst/>
                          </a:prstGeom>
                          <a:ln w="0">
                            <a:noFill/>
                          </a:ln>
                        </pic:spPr>
                      </pic:pic>
                    </a:graphicData>
                  </a:graphic>
                </wp:inline>
              </w:drawing>
            </w:r>
            <w:hyperlink r:id="rId16796803a641381f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is an ambrosia beetle within the subfamily Platypodinae and represents a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is a polyphagous pest of trees, and poplars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considered to be important hosts in both its native range (South America) and introduced range (Italy). As poplars originate from the Northern Hemisphere, it is not clear what are the native hosts in South America, but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recorded there on a wide range of timber, fruit and ornamental trees,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(Etiennot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Giménez &amp; Etiennot, 2003); conifers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w:t>
      </w:r>
      <w:r>
        <w:rPr>
          <w:rFonts w:ascii="Calibri" w:hAnsi="Calibri" w:eastAsia="Calibri" w:cs="Calibri"/>
          <w:color w:val="000000"/>
          <w:sz w:val="22"/>
          <w:szCs w:val="22"/>
        </w:rPr>
        <w:t xml:space="preserve">) are also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first recorded on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canadensis</w:t>
      </w:r>
      <w:r>
        <w:rPr>
          <w:rFonts w:ascii="Calibri" w:hAnsi="Calibri" w:eastAsia="Calibri" w:cs="Calibri"/>
          <w:color w:val="000000"/>
          <w:sz w:val="22"/>
          <w:szCs w:val="22"/>
        </w:rPr>
        <w:t xml:space="preserve">, and then on fruit trees such as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 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 P. persica, Pyrus, </w:t>
      </w:r>
      <w:r>
        <w:rPr>
          <w:rFonts w:ascii="Calibri" w:hAnsi="Calibri" w:eastAsia="Calibri" w:cs="Calibri"/>
          <w:color w:val="000000"/>
          <w:sz w:val="22"/>
          <w:szCs w:val="22"/>
        </w:rPr>
        <w:t xml:space="preserve">as well as on</w:t>
      </w:r>
      <w:r>
        <w:rPr>
          <w:rFonts w:ascii="Calibri" w:hAnsi="Calibri" w:eastAsia="Calibri" w:cs="Calibri"/>
          <w:i/>
          <w:iCs/>
          <w:color w:val="000000"/>
          <w:sz w:val="22"/>
          <w:szCs w:val="22"/>
        </w:rPr>
        <w:t xml:space="preserve"> 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Robinia</w:t>
      </w:r>
      <w:r>
        <w:rPr>
          <w:rFonts w:ascii="Calibri" w:hAnsi="Calibri" w:eastAsia="Calibri" w:cs="Calibri"/>
          <w:color w:val="000000"/>
          <w:sz w:val="22"/>
          <w:szCs w:val="22"/>
        </w:rPr>
        <w:t xml:space="preserve"> (Griffo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Balfourodendron riedelianum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brasiliense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estrellensis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legalis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Cenostigma pluviosum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floribundus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piptocalyx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Luetzelburgia guaissara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Machaerium stipitatum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Piptadenia gonoacantha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Platypodium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Schizolobium parahyba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Sebastiania klotzschiana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moltkei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megapotamica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native to subtropical and tropical regions of South America but has extended its distribution to colder areas of the continent, such as Patagonia (Southern Argentina)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the presence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confirmed in Italy, where it caused severe damage to poplar plantations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the province of Caserta (Campania region) (Tremblay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According to Allegro and Griffo (2008) the beetle increased its distribution in Caserta from 130 km² in 2000 to 587 km² in 2007, and significant attacks were recorded in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(hazelnut) and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(kaki) orchards. In subsequent years,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spread to areas bordering Campania and reached Molise and Lazio regions in 2013 and 2016, respectively. There are no further confirmed findings in the EPPO region to date, although countries of the Mediterranean temperate belt (e.g. France, Greece, Spain, Turkey) which have poplar plantations and grow fruit crops, are anticipated to be at risk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28154718" name="name15586803a6413a2d3" descr="PLTPM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TPMU_distribution_map.jpg"/>
                    <pic:cNvPicPr/>
                  </pic:nvPicPr>
                  <pic:blipFill>
                    <a:blip r:embed="rId90256803a6413a2d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Espirito Santo, Parana, Rio de Janeiro, Rio Grande do Sul, Santa Catarina, Sao Paulo), French Guiana, Paraguay,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Investigations into the population dynamics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indicated a bivoltine life cycle in South America, as well as in Italy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overwinters mainly as mature larvae or immature adults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Adults appear in the field in late spring-early summer (November–December in South America and May–June in Italy). Males start emerging a few days before females, and fly to tree trunks in which they bore a radial gallery directed towards the centre of the trunk, and attract females by releasing a specific pheromone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After mating, the two adults bore new galleries inside the trunk, in which the female lays 100–200 eggs over a period of 2–3 months. Adults inoculate the galleries with symbiotic fungi which are specifically associated with the pest. An ascomycetous fungus </w:t>
      </w:r>
      <w:r>
        <w:rPr>
          <w:rFonts w:ascii="Calibri" w:hAnsi="Calibri" w:eastAsia="Calibri" w:cs="Calibri"/>
          <w:i/>
          <w:iCs/>
          <w:color w:val="000000"/>
          <w:sz w:val="22"/>
          <w:szCs w:val="22"/>
        </w:rPr>
        <w:t xml:space="preserve">Raffaelea santoroi</w:t>
      </w:r>
      <w:r>
        <w:rPr>
          <w:rFonts w:ascii="Calibri" w:hAnsi="Calibri" w:eastAsia="Calibri" w:cs="Calibri"/>
          <w:color w:val="000000"/>
          <w:sz w:val="22"/>
          <w:szCs w:val="22"/>
        </w:rPr>
        <w:t xml:space="preserve"> was the first species to be identified in the galleries and frass of infested trees in Argentina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(Guerrero, 1966). The fungus is not harmful to the tree, and simply grows saprophytically on the walls of the galleries, which become blackish as a result. The first and second instar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mycetophagous, feeding on the mycelium; as they grow larger, they become xylophagous, feeding on the wood directly. The mycobiota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further studied in Argentina. By analyzing numerous gallery fragments (1104 fragments from 28 poplar trees) and body parts of insects,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identified 19 different fungal species.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Raffaelea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were the most abundant species, but </w:t>
      </w:r>
      <w:r>
        <w:rPr>
          <w:rFonts w:ascii="Calibri" w:hAnsi="Calibri" w:eastAsia="Calibri" w:cs="Calibri"/>
          <w:i/>
          <w:iCs/>
          <w:color w:val="000000"/>
          <w:sz w:val="22"/>
          <w:szCs w:val="22"/>
        </w:rPr>
        <w:t xml:space="preserve">R. santoroi</w:t>
      </w:r>
      <w:r>
        <w:rPr>
          <w:rFonts w:ascii="Calibri" w:hAnsi="Calibri" w:eastAsia="Calibri" w:cs="Calibri"/>
          <w:color w:val="000000"/>
          <w:sz w:val="22"/>
          <w:szCs w:val="22"/>
        </w:rPr>
        <w:t xml:space="preserve"> was not found. Interestingly, one of these fungal associates,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was identified to be capable of producing components of the sex pheromone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(i.e. sulcatone), thus suggesting that fungi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play a role in the mating process (Slodowicz et al., 2019). The possibility that fungal communities present in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galleries are specific to the host tree has been studied by comparing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but specificity could not be demonstrated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generally reach maturity in early spring or within the 5 months before the cold season. They pupate in spring, and the adults emerge in late spring or early summer. Occasionally a few adults emerge before winter but, if a second generation is started, it is interrupted by cold (Santoro, 1963). There is still no evidence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any distinct geographical races or ecotypes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 </w:t>
      </w:r>
      <w:r>
        <w:rPr>
          <w:rFonts w:ascii="Calibri" w:hAnsi="Calibri" w:eastAsia="Calibri" w:cs="Calibri"/>
          <w:color w:val="000000"/>
          <w:sz w:val="22"/>
          <w:szCs w:val="22"/>
        </w:rPr>
        <w:t xml:space="preserve">preferentially attacks large standing tree trunks (over 15 cm in diameter). The main sign of infestation is the presence of holes 3 mm wide, exuding sap and frass in early summer. The internal sinuous galleries are lined with the black mycelium of the symbiotic fungus.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whitish and translucent, elliptical, about 1 mm long and 0.6 mm wide (Toscani,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shape changes from elliptical (1st instar) to cylindrical (5th instar). The mature larva is about 7.2 mm long. The colour is brilliant white at 1st instar, becoming yellowish towards maturity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8–9 mm long, whitish in colour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has a cylindrical body with sulcate elytral striae. The head is as long as the pronotum. The male is about 7.5 mm long, dark brown above, clearer below; the female is 8–9 mm long, brown above and reddish-yellow below. Tarsi and antennae are reddish. In the male, the elytrae have truncate tips, with characteristic spiniform processes on the declivity; in the female, they have round tips, without processes. In both sexes, the anterior tibiae are rasp-like, helping the insect to move inside the galleries.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the ambrosia beetle appears rather difficult, as it tends to spend most of its life hidden within the wood (FERA, 2014). The presence of galleries may also not sufficiently indicate whether active larvae are inside. However, frass may indicate insect activity. Two distinctive types of frass can be observed: one comprised of long particles, which results from digging activity of the adults; and a more granular sawdust from the feeding activity of the larvae (CABI, 2020). Specimens may be identified using the EPPO PM 7/129 Standard </w:t>
      </w:r>
      <w:r>
        <w:rPr>
          <w:rFonts w:ascii="Calibri" w:hAnsi="Calibri" w:eastAsia="Calibri" w:cs="Calibri"/>
          <w:i/>
          <w:iCs/>
          <w:color w:val="000000"/>
          <w:sz w:val="22"/>
          <w:szCs w:val="22"/>
        </w:rPr>
        <w:t xml:space="preserve">DNA barcoding as an identiﬁcation tool for a number of regulated pests</w:t>
      </w:r>
      <w:r>
        <w:rPr>
          <w:rFonts w:ascii="Calibri" w:hAnsi="Calibri" w:eastAsia="Calibri" w:cs="Calibri"/>
          <w:color w:val="000000"/>
          <w:sz w:val="22"/>
          <w:szCs w:val="22"/>
        </w:rPr>
        <w:t xml:space="preserve">, Appendix 1 on Barcoding of Arthropods (EPPO, 2016 – under revision). Referenced sequence material on the CO1 marker gene is accessible via EPPO-Q-bank.</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pheromone-baited traps was successfully applied in Campania (Italy) to assess the level of dispersion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is recommended in plantations with anticipated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dispersal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ensured by adult flying to new host trees, generally within a range of 50–100 m from the emergence hole. The adult is not a very good flyer, and is not likely to spread more than 100 m. After emergence, the adult has to find a new host within a maximum of 5 days (Santoro, 1963). Long-distance transport of the pest is possible in particular by commercial trade of wood (particularly large trunks), or on wood packaging material accompanying other traded articles. In Italy, it is hypothesized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introduced with a single consignment of roundwood of poplar with bark, imported from Argentina. The pest is very likely to be carried by recently felled wood.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could also be carried by plants for planting of its host trees, provided they were large enough to be attacked.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mainly a pest of timber trees (especially poplar). It is a primary pest, as it attacks only live standing trees (Allegro, 1990). It does not attack declining trees or cut wood, and will only be present in them as a result of earlier primary attack. It drills the trunks and bores internal tunnels that weaken the trees, reducing yield (in wood volume) and causing breakage by wind, and even killing of trees which are highly stressed. The adult and larval galleries, by their presence and their dark fungal discoloration, disqualify the wood from the standards required by the plywood industry, thus dramatically lowering its value.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trees are also attacked by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They are weakened by the galleries, produce less fruit, and become liable to breakage by wind (Carella &amp; Spigno, 2002). No significant environmental impacts have been documented, except some damage to trees planted as windbreaks.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information available on losses in South America, but it is reported that some poplar producers have lost their high quality wood market and have been obliged to diversify their activity to maintain their income, or else have lost income because of trading a lower quality product. There is similarly no detailed information on losses in Italy, but it is anticipated that growers will suffer from the decline in quality of their product, in view of the high-quality standards required by the wood industry.</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M. platypus</w:t>
      </w:r>
      <w:r>
        <w:rPr>
          <w:rFonts w:ascii="Calibri" w:hAnsi="Calibri" w:eastAsia="Calibri" w:cs="Calibri"/>
          <w:color w:val="000000"/>
          <w:sz w:val="22"/>
          <w:szCs w:val="22"/>
        </w:rPr>
        <w:t xml:space="preserve"> has not been reported outside its native range and Italy,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considered it to be a severe threat to ‘world poplar resources’, mainly because the beetle has a broad geographical distribution in South America and a broad host range in all temperate regions of the globe where it occurs.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difficult to control, since most of its life cycle takes place within wood, and the adults, which are accessible to treatment during flight, are not very sensitive to insecticides. In Argentina, two approaches have been used. The first is early detection and destruction of infested trees (Santoro, 1967; Toscani, 1990), while the second is chemical control by injecting insecticides into the galleries or spraying trunks (Santoro, 1962, 1965b, 1967) during peak adult emergence in spring (Santoro, 1963). However, such chemical treatments are costly and potentially harmful to the environment and can only be carried out in high-value agricultural crops and in restricted areas. They are not advisable in woodlands.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pheromones of the male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been identified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further development of traps was pursued.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successfully caught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(in which the pest was already suspected to be present) in Italy by the use of pheromone baited traps. Traps contained a (+)-sulcatol, sulcatone and 3-pentanol combination and were hung from trees with ropes at approximately 1.5 m above ground level. The traps caught a high proportion of females (92%), which confirmed its behaviour as a true sex pheromone. The same sex pheromones were successfully applied to disrupt and hence control mating behaviour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during trials conducted both in Argentina and Italy. In addition, it was further demonstrated, that these control measures could also reduce damage in hazelnut and poplar plantations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Though biological control would be a desirable strategy, no natural enemies of eggs or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known at present. In conclusion, the use of sex-pheromone baited traps in mass trapping strategies or, at least, in monitoring population peaks could be a valuable help in the control of the pest.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become established in Italy where it is already causing damage to poplar (reduction of wood quality) and to fruit and nut crops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shows that this pest presents a definite phytosanitary risk for the EPPO region. Indeed, tree mortality has been noted in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introduced without its natural enemies, it may thus have a greater economic impact in its introduced area than in its native range.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up till now, 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still has a limited distribution in Italy and that no further dispersal within the EPPO region has been documented, suggests a slow rate of natural dispersal. Although there is little likelihood of eradication, containment remains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endangered area extends widely in the EPPO region, because of the presence of numerous host plants for this polyphagous pest, and because climatic conditions are suitable over many parts of the region. A CLIMEX study, though having a high degree of uncertainty, indicated that the Mediterranean coasts are most likely to be at risk, extending to Portugal. Considering that the species may have a lower degree day per generation requirement than expected, the endangered area could possibly be extended to Northern Italy (Po valley, where there is extensive production of poplar), coastal areas of Balkan and Black Sea countries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2007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added to the EPPO A2 list and endangered EPPO member countries are thus recommended to regulate it as a quarantine pest. The main pathways for introduction are plants for planting of host plants with trunks of more than 15 cm diameter, round wood of host plants of more than 15 cm diameter, sawn wood and wood packaging material. Plants for planting should originate from a pest-free area or come from a pest-free place of production with a buffer zone of at least 200 m. Round wood or sawn wood should come from a pest-free area or pest-free place of production or have been treated by fumigation, heat treatment, kiln drying or chemical pressure impregnation (EPPO, 2007). Debarking of trunks does not eliminate the possibility that the pest may still be present, as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bores deep galleries. Wood packaging should comply with ISPM 15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separate possibilities of introduction from South America, and from the infested area in Italy. In practice, the risk of further entry from South America is low, because there is practically no existing trade in host plants or wood from the countries concerned to the EPPO region. The risk of movement with wood packaging should be adequately covered by ISPM 15. Within the EPPO region, there is relatively little prospect of movement of the large plants for planting which would be capable of carrying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 Gonzalez P, Villaverde R, Battaglino N, Allegro G &amp; Humble L (2004) The threat of the ambrosia beetle, </w:t>
      </w:r>
      <w:r>
        <w:rPr>
          <w:rFonts w:ascii="Calibri" w:hAnsi="Calibri" w:eastAsia="Calibri" w:cs="Calibri"/>
          <w:i/>
          <w:iCs/>
          <w:color w:val="000000"/>
          <w:sz w:val="22"/>
          <w:szCs w:val="22"/>
        </w:rPr>
        <w:t xml:space="preserve">Platypus sulcatus (= mutatus) </w:t>
      </w:r>
      <w:r>
        <w:rPr>
          <w:rFonts w:ascii="Calibri" w:hAnsi="Calibri" w:eastAsia="Calibri" w:cs="Calibri"/>
          <w:color w:val="000000"/>
          <w:sz w:val="22"/>
          <w:szCs w:val="22"/>
        </w:rPr>
        <w:t xml:space="preserve">to world poplar resources. </w:t>
      </w:r>
      <w:r>
        <w:rPr>
          <w:rFonts w:ascii="Calibri" w:hAnsi="Calibri" w:eastAsia="Calibri" w:cs="Calibri"/>
          <w:i/>
          <w:iCs/>
          <w:color w:val="000000"/>
          <w:sz w:val="22"/>
          <w:szCs w:val="22"/>
        </w:rPr>
        <w:t xml:space="preserve">XXII FAO/IPC Session</w:t>
      </w:r>
      <w:r>
        <w:rPr>
          <w:rFonts w:ascii="Calibri" w:hAnsi="Calibri" w:eastAsia="Calibri" w:cs="Calibri"/>
          <w:color w:val="000000"/>
          <w:sz w:val="22"/>
          <w:szCs w:val="22"/>
        </w:rPr>
        <w:t xml:space="preserve">, Santiago (CL).</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Humble LM, Gonzalez P, Villaverde R &amp; Allegro G (2007) The threat of the ambrosia beetle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 </w:t>
      </w:r>
      <w:r>
        <w:rPr>
          <w:rFonts w:ascii="Calibri" w:hAnsi="Calibri" w:eastAsia="Calibri" w:cs="Calibri"/>
          <w:i/>
          <w:iCs/>
          <w:color w:val="000000"/>
          <w:sz w:val="22"/>
          <w:szCs w:val="22"/>
        </w:rPr>
        <w:t xml:space="preserve">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to world poplar resources.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(4),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(1990) [Animal pests of poplar and willow in Argentina.] </w:t>
      </w:r>
      <w:r>
        <w:rPr>
          <w:rFonts w:ascii="Calibri" w:hAnsi="Calibri" w:eastAsia="Calibri" w:cs="Calibri"/>
          <w:i/>
          <w:iCs/>
          <w:color w:val="000000"/>
          <w:sz w:val="22"/>
          <w:szCs w:val="22"/>
        </w:rPr>
        <w:t xml:space="preserve">Cellulosa e Carta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18-22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Griffo R (2008) I rischi di diffusione di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(13), 73-76.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 </w:t>
      </w:r>
      <w:r>
        <w:rPr>
          <w:rFonts w:ascii="Calibri" w:hAnsi="Calibri" w:eastAsia="Calibri" w:cs="Calibri"/>
          <w:color w:val="000000"/>
          <w:sz w:val="22"/>
          <w:szCs w:val="22"/>
        </w:rPr>
        <w:t xml:space="preserve">Available online at </w:t>
      </w:r>
      <w:hyperlink r:id="rId17456803a6413b2e9" w:history="1">
        <w:r>
          <w:rPr>
            <w:rFonts w:ascii="Calibri" w:hAnsi="Calibri" w:eastAsia="Calibri" w:cs="Calibri"/>
            <w:color w:val="0000CC"/>
            <w:sz w:val="22"/>
            <w:szCs w:val="22"/>
            <w:u w:val="single"/>
          </w:rPr>
          <w:t xml:space="preserve">https://www.cabi.org/isc/datasheet/42293</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Carella D &amp; Spigno P (2002) [</w:t>
      </w:r>
      <w:r>
        <w:rPr>
          <w:rFonts w:ascii="Calibri" w:hAnsi="Calibri" w:eastAsia="Calibri" w:cs="Calibri"/>
          <w:i/>
          <w:iCs/>
          <w:color w:val="000000"/>
          <w:sz w:val="22"/>
          <w:szCs w:val="22"/>
        </w:rPr>
        <w:t xml:space="preserve">Platypus mutatus </w:t>
      </w:r>
      <w:r>
        <w:rPr>
          <w:rFonts w:ascii="Calibri" w:hAnsi="Calibri" w:eastAsia="Calibri" w:cs="Calibri"/>
          <w:color w:val="000000"/>
          <w:sz w:val="22"/>
          <w:szCs w:val="22"/>
        </w:rPr>
        <w:t xml:space="preserve">passes from poplar to fruit trees.] </w:t>
      </w:r>
      <w:r>
        <w:rPr>
          <w:rFonts w:ascii="Calibri" w:hAnsi="Calibri" w:eastAsia="Calibri" w:cs="Calibri"/>
          <w:i/>
          <w:iCs/>
          <w:color w:val="000000"/>
          <w:sz w:val="22"/>
          <w:szCs w:val="22"/>
        </w:rPr>
        <w:t xml:space="preserve">Bollettino del Laboratorio di Entomologia Agraria, Filippo Silvestri </w:t>
      </w:r>
      <w:r>
        <w:rPr>
          <w:rFonts w:ascii="Calibri" w:hAnsi="Calibri" w:eastAsia="Calibri" w:cs="Calibri"/>
          <w:color w:val="000000"/>
          <w:sz w:val="22"/>
          <w:szCs w:val="22"/>
        </w:rPr>
        <w:t xml:space="preserve">58, 139-141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Slodowicz M, Gonzalez-Audino P, Dolinko A &amp; Carmarán C (2016) Mycobiota associated with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threat to poplar plantations.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191-200.</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Ramos S, Robles CA, Novas M, DJonsiles MF, Gonzalez-Audino P &amp; Carmarán C (2018) Metagenomic approach of associated fungi with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(Coleoptera: Platypodinae).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9940. </w:t>
      </w:r>
      <w:hyperlink r:id="rId13746803a6413b484" w:history="1">
        <w:r>
          <w:rPr>
            <w:rFonts w:ascii="Calibri" w:hAnsi="Calibri" w:eastAsia="Calibri" w:cs="Calibri"/>
            <w:color w:val="0000CC"/>
            <w:sz w:val="22"/>
            <w:szCs w:val="22"/>
            <w:u w:val="single"/>
          </w:rPr>
          <w:t xml:space="preserve">https://doi.org/10.14214/sf.9940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Pest Risk Analysis record for </w:t>
      </w:r>
      <w:r>
        <w:rPr>
          <w:rFonts w:ascii="Calibri" w:hAnsi="Calibri" w:eastAsia="Calibri" w:cs="Calibri"/>
          <w:i/>
          <w:iCs/>
          <w:color w:val="000000"/>
          <w:sz w:val="22"/>
          <w:szCs w:val="22"/>
        </w:rPr>
        <w:t xml:space="preserve">Megaplatypus mutatus. </w:t>
      </w:r>
      <w:hyperlink r:id="rId43806803a6413b4cb" w:history="1">
        <w:r>
          <w:rPr>
            <w:rFonts w:ascii="Calibri" w:hAnsi="Calibri" w:eastAsia="Calibri" w:cs="Calibri"/>
            <w:color w:val="0000CC"/>
            <w:sz w:val="22"/>
            <w:szCs w:val="22"/>
            <w:u w:val="single"/>
          </w:rPr>
          <w:t xml:space="preserve">https://gd.eppo.int/taxon/PLTPMU/documents</w:t>
        </w:r>
      </w:hyperlink>
      <w:r>
        <w:rPr>
          <w:rFonts w:ascii="Calibri" w:hAnsi="Calibri" w:eastAsia="Calibri" w:cs="Calibri"/>
          <w:color w:val="000000"/>
          <w:sz w:val="22"/>
          <w:szCs w:val="22"/>
        </w:rPr>
        <w:t xml:space="preserve"> (accessed September 2020)</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Etiennot AE, Giménez RA &amp; Bascialli ME (1998)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distribution of attack according to the diameter at chest height of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and efficiency evaluation of herbicides]. </w:t>
      </w:r>
      <w:r>
        <w:rPr>
          <w:rFonts w:ascii="Calibri" w:hAnsi="Calibri" w:eastAsia="Calibri" w:cs="Calibri"/>
          <w:i/>
          <w:iCs/>
          <w:color w:val="000000"/>
          <w:sz w:val="22"/>
          <w:szCs w:val="22"/>
        </w:rPr>
        <w:t xml:space="preserve">Primeiro Simposio Argentino-Canadiense de Protección Forestal</w:t>
      </w:r>
      <w:r>
        <w:rPr>
          <w:rFonts w:ascii="Calibri" w:hAnsi="Calibri" w:eastAsia="Calibri" w:cs="Calibri"/>
          <w:color w:val="000000"/>
          <w:sz w:val="22"/>
          <w:szCs w:val="22"/>
        </w:rPr>
        <w:t xml:space="preserve">. Buenos Aires (AR)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21 pp. </w:t>
      </w:r>
      <w:hyperlink r:id="rId78036803a6413b5fd" w:history="1">
        <w:r>
          <w:rPr>
            <w:rFonts w:ascii="Calibri" w:hAnsi="Calibri" w:eastAsia="Calibri" w:cs="Calibri"/>
            <w:color w:val="0000CC"/>
            <w:sz w:val="22"/>
            <w:szCs w:val="22"/>
            <w:u w:val="single"/>
          </w:rPr>
          <w:t xml:space="preserve">https://www.ippc.int/en/core-activities/standards-setting/ispms/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assessment of the need for a detailed Pest Risk Analysis for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Available online at </w:t>
      </w:r>
      <w:hyperlink r:id="rId91126803a6413b670" w:history="1">
        <w:r>
          <w:rPr>
            <w:rFonts w:ascii="Calibri" w:hAnsi="Calibri" w:eastAsia="Calibri" w:cs="Calibri"/>
            <w:color w:val="0000CC"/>
            <w:sz w:val="22"/>
            <w:szCs w:val="22"/>
            <w:u w:val="single"/>
          </w:rPr>
          <w:t xml:space="preserve">https://secure.fera.defra.gov.uk/phiw/riskRegister/downloadExternalPra.cfm?id=3834</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Funes H, Griffo R, Zerba E, Gonzalez-Audino P (2011) Mating disruption of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in poplar and hazelnut plantations using reservoir systems for pheromones.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(3), 226-234.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(2002) [Short note: chemical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on poplar.] </w:t>
      </w:r>
      <w:r>
        <w:rPr>
          <w:rFonts w:ascii="Calibri" w:hAnsi="Calibri" w:eastAsia="Calibri" w:cs="Calibri"/>
          <w:i/>
          <w:iCs/>
          <w:color w:val="000000"/>
          <w:sz w:val="22"/>
          <w:szCs w:val="22"/>
        </w:rPr>
        <w:t xml:space="preserve">Investigaciones Agrarias: Sistemas y Recursos Forestales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227-232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(2003) Host range of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Entomotropica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Etiennot AE, Bascialli ME &amp; Toscani H (1995) [Efficacy of various insecticides in the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en the Paraná Delta.] </w:t>
      </w:r>
      <w:r>
        <w:rPr>
          <w:rFonts w:ascii="Calibri" w:hAnsi="Calibri" w:eastAsia="Calibri" w:cs="Calibri"/>
          <w:i/>
          <w:iCs/>
          <w:color w:val="000000"/>
          <w:sz w:val="22"/>
          <w:szCs w:val="22"/>
        </w:rPr>
        <w:t xml:space="preserve">IX Jornadas Fitosanitarias Argentinas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Mendoza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Audino P, Villaverde R, Alfaro R &amp; Zerba E (2005) Identification of volatile emissions from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and their pheromonal activity.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1506-1509.</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Gonzalez-Audino P, Griffo R, Gatti P, Allegro G, &amp; Zerba E (2013) Pheromone detection of the introduced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(Chapuis) (Platypodinae, Curculionidae) in Italy.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 109-115.</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Pesapane G, Funes H, Gonzalez-Audino P, Germinara GS (2012) Diffusione e controllo di platipo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66-67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RT (1966) [A new fungus anamorph associated with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Agropecuarias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III, 97-103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(1965a) [Description of the five larval instars and the pupa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(1965b) [Three trials on preventive chemical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59-64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(1962) [Basis for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Forestales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17-23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(1963) [Biology and ecology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Revista de Investigaciones Forestales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(1967) [New results on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70-74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Slodowicz M, Ceriani‐Nakamurakare E, Carmarán C &amp; González‐Audino P (2019) Sex pheromone component produced by microbial associates of the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(3), 231-240.</w:t>
      </w:r>
    </w:p>
    <w:p>
      <w:pPr>
        <w:widowControl w:val="on"/>
        <w:pBdr/>
        <w:spacing w:before="220" w:after="220" w:line="240" w:lineRule="auto"/>
        <w:ind w:left="0" w:right="0"/>
        <w:jc w:val="left"/>
      </w:pPr>
      <w:r>
        <w:rPr>
          <w:rFonts w:ascii="Calibri" w:hAnsi="Calibri" w:eastAsia="Calibri" w:cs="Calibri"/>
          <w:color w:val="000000"/>
          <w:sz w:val="22"/>
          <w:szCs w:val="22"/>
        </w:rPr>
        <w:t xml:space="preserve">Toscani HA (1990) Manual para la protección de los cultivos forestales en la región del Delta del Paraná. 35ª Reunión Comisión Internacional del Alamo. Informe Comité Ejecutivo. Buenos Aires, Argentina, 17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Tremblay E, Espinosa B, Mancini D, Caprio G (2000) Un coleottero proveniente dal Sudamerica minaccia i pioppi.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89-90 (in Italian).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Björn Hoppe, Laboratory on Forest quarantine pests at Julius Kühn-Institut in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EPPO datasheets on pests recommended for regulation. Available online. </w:t>
      </w:r>
      <w:hyperlink r:id="rId45146803a6413be8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55-58. </w:t>
      </w:r>
      <w:hyperlink r:id="rId81466803a6413bf55" w:history="1">
        <w:r>
          <w:rPr>
            <w:rFonts w:ascii="Calibri" w:hAnsi="Calibri" w:eastAsia="Calibri" w:cs="Calibri"/>
            <w:color w:val="0000CC"/>
            <w:sz w:val="22"/>
            <w:szCs w:val="22"/>
            <w:u w:val="single"/>
          </w:rPr>
          <w:t xml:space="preserve">https://doi.org/10.1111/j.1365-2338.2009.02237.x</w:t>
        </w:r>
      </w:hyperlink>
    </w:p>
    <w:p>
      <w:r>
        <w:drawing>
          <wp:inline distT="0" distB="0" distL="0" distR="0">
            <wp:extent cx="1800000" cy="604800"/>
            <wp:docPr id="84629632" name="name68226803a6413bfc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016803a6413bfc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241940">
    <w:multiLevelType w:val="hybridMultilevel"/>
    <w:lvl w:ilvl="0" w:tplc="16383892">
      <w:start w:val="1"/>
      <w:numFmt w:val="decimal"/>
      <w:lvlText w:val="%1."/>
      <w:lvlJc w:val="left"/>
      <w:pPr>
        <w:ind w:left="720" w:hanging="360"/>
      </w:pPr>
    </w:lvl>
    <w:lvl w:ilvl="1" w:tplc="16383892" w:tentative="1">
      <w:start w:val="1"/>
      <w:numFmt w:val="lowerLetter"/>
      <w:lvlText w:val="%2."/>
      <w:lvlJc w:val="left"/>
      <w:pPr>
        <w:ind w:left="1440" w:hanging="360"/>
      </w:pPr>
    </w:lvl>
    <w:lvl w:ilvl="2" w:tplc="16383892" w:tentative="1">
      <w:start w:val="1"/>
      <w:numFmt w:val="lowerRoman"/>
      <w:lvlText w:val="%3."/>
      <w:lvlJc w:val="right"/>
      <w:pPr>
        <w:ind w:left="2160" w:hanging="180"/>
      </w:pPr>
    </w:lvl>
    <w:lvl w:ilvl="3" w:tplc="16383892" w:tentative="1">
      <w:start w:val="1"/>
      <w:numFmt w:val="decimal"/>
      <w:lvlText w:val="%4."/>
      <w:lvlJc w:val="left"/>
      <w:pPr>
        <w:ind w:left="2880" w:hanging="360"/>
      </w:pPr>
    </w:lvl>
    <w:lvl w:ilvl="4" w:tplc="16383892" w:tentative="1">
      <w:start w:val="1"/>
      <w:numFmt w:val="lowerLetter"/>
      <w:lvlText w:val="%5."/>
      <w:lvlJc w:val="left"/>
      <w:pPr>
        <w:ind w:left="3600" w:hanging="360"/>
      </w:pPr>
    </w:lvl>
    <w:lvl w:ilvl="5" w:tplc="16383892" w:tentative="1">
      <w:start w:val="1"/>
      <w:numFmt w:val="lowerRoman"/>
      <w:lvlText w:val="%6."/>
      <w:lvlJc w:val="right"/>
      <w:pPr>
        <w:ind w:left="4320" w:hanging="180"/>
      </w:pPr>
    </w:lvl>
    <w:lvl w:ilvl="6" w:tplc="16383892" w:tentative="1">
      <w:start w:val="1"/>
      <w:numFmt w:val="decimal"/>
      <w:lvlText w:val="%7."/>
      <w:lvlJc w:val="left"/>
      <w:pPr>
        <w:ind w:left="5040" w:hanging="360"/>
      </w:pPr>
    </w:lvl>
    <w:lvl w:ilvl="7" w:tplc="16383892" w:tentative="1">
      <w:start w:val="1"/>
      <w:numFmt w:val="lowerLetter"/>
      <w:lvlText w:val="%8."/>
      <w:lvlJc w:val="left"/>
      <w:pPr>
        <w:ind w:left="5760" w:hanging="360"/>
      </w:pPr>
    </w:lvl>
    <w:lvl w:ilvl="8" w:tplc="16383892" w:tentative="1">
      <w:start w:val="1"/>
      <w:numFmt w:val="lowerRoman"/>
      <w:lvlText w:val="%9."/>
      <w:lvlJc w:val="right"/>
      <w:pPr>
        <w:ind w:left="6480" w:hanging="180"/>
      </w:pPr>
    </w:lvl>
  </w:abstractNum>
  <w:abstractNum w:abstractNumId="35241939">
    <w:multiLevelType w:val="hybridMultilevel"/>
    <w:lvl w:ilvl="0" w:tplc="558341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241939">
    <w:abstractNumId w:val="35241939"/>
  </w:num>
  <w:num w:numId="35241940">
    <w:abstractNumId w:val="352419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0024863" Type="http://schemas.microsoft.com/office/2011/relationships/commentsExtended" Target="commentsExtended.xml"/><Relationship Id="rId966806154" Type="http://schemas.microsoft.com/office/2011/relationships/people" Target="people.xml"/><Relationship Id="rId23816803a641378d3" Type="http://schemas.openxmlformats.org/officeDocument/2006/relationships/hyperlink" Target="https://gd.eppo.int/taxon/PLTPMU/" TargetMode="External"/><Relationship Id="rId50416803a6413791e" Type="http://schemas.openxmlformats.org/officeDocument/2006/relationships/hyperlink" Target="https://gd.eppo.int/taxon/PLTPMU/categorization" TargetMode="External"/><Relationship Id="rId16796803a641381f4" Type="http://schemas.openxmlformats.org/officeDocument/2006/relationships/hyperlink" Target="https://gd.eppo.int/taxon/PLTPMU/photos" TargetMode="External"/><Relationship Id="rId17456803a6413b2e9" Type="http://schemas.openxmlformats.org/officeDocument/2006/relationships/hyperlink" Target="https://www.cabi.org/isc/datasheet/42293" TargetMode="External"/><Relationship Id="rId13746803a6413b484" Type="http://schemas.openxmlformats.org/officeDocument/2006/relationships/hyperlink" Target="https://doi.org/10.14214/sf.9940" TargetMode="External"/><Relationship Id="rId43806803a6413b4cb" Type="http://schemas.openxmlformats.org/officeDocument/2006/relationships/hyperlink" Target="https://gd.eppo.int/taxon/PLTPMU/documents" TargetMode="External"/><Relationship Id="rId78036803a6413b5fd" Type="http://schemas.openxmlformats.org/officeDocument/2006/relationships/hyperlink" Target="https://www.ippc.int/en/core-activities/standards-setting/ispms/" TargetMode="External"/><Relationship Id="rId91126803a6413b670" Type="http://schemas.openxmlformats.org/officeDocument/2006/relationships/hyperlink" Target="https://secure.fera.defra.gov.uk/phiw/riskRegister/downloadExternalPra.cfm?id=3834" TargetMode="External"/><Relationship Id="rId45146803a6413be8d" Type="http://schemas.openxmlformats.org/officeDocument/2006/relationships/hyperlink" Target="https://gd.eppo.int" TargetMode="External"/><Relationship Id="rId81466803a6413bf55" Type="http://schemas.openxmlformats.org/officeDocument/2006/relationships/hyperlink" Target="https://doi.org/10.1111/j.1365-2338.2009.02237.x" TargetMode="External"/><Relationship Id="rId48656803a641380c7" Type="http://schemas.openxmlformats.org/officeDocument/2006/relationships/image" Target="media/imgrId48656803a641380c7.jpg"/><Relationship Id="rId90256803a6413a2d0" Type="http://schemas.openxmlformats.org/officeDocument/2006/relationships/image" Target="media/imgrId90256803a6413a2d0.jpg"/><Relationship Id="rId26016803a6413bfca" Type="http://schemas.openxmlformats.org/officeDocument/2006/relationships/image" Target="media/imgrId26016803a6413bfc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