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maculata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maculata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Perry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Ampullaria gigas</w:t>
            </w:r>
            <w:r>
              <w:rPr>
                <w:rFonts w:ascii="Calibri" w:hAnsi="Calibri" w:eastAsia="Calibri" w:cs="Calibri"/>
                <w:color w:val="000000"/>
                <w:position w:val="-3"/>
                <w:sz w:val="22"/>
                <w:szCs w:val="22"/>
              </w:rPr>
              <w:t xml:space="preserve"> Spix, </w:t>
            </w:r>
            <w:r>
              <w:rPr>
                <w:rFonts w:ascii="Calibri" w:hAnsi="Calibri" w:eastAsia="Calibri" w:cs="Calibri"/>
                <w:i/>
                <w:iCs/>
                <w:color w:val="000000"/>
                <w:position w:val="-3"/>
                <w:sz w:val="22"/>
                <w:szCs w:val="22"/>
              </w:rPr>
              <w:t xml:space="preserve">Ampullaria insularum</w:t>
            </w:r>
            <w:r>
              <w:rPr>
                <w:rFonts w:ascii="Calibri" w:hAnsi="Calibri" w:eastAsia="Calibri" w:cs="Calibri"/>
                <w:color w:val="000000"/>
                <w:position w:val="-3"/>
                <w:sz w:val="22"/>
                <w:szCs w:val="22"/>
              </w:rPr>
              <w:t xml:space="preserve"> d'Orbigny, </w:t>
            </w:r>
            <w:r>
              <w:rPr>
                <w:rFonts w:ascii="Calibri" w:hAnsi="Calibri" w:eastAsia="Calibri" w:cs="Calibri"/>
                <w:i/>
                <w:iCs/>
                <w:color w:val="000000"/>
                <w:position w:val="-3"/>
                <w:sz w:val="22"/>
                <w:szCs w:val="22"/>
              </w:rPr>
              <w:t xml:space="preserve">Pomacea insularum</w:t>
            </w:r>
            <w:r>
              <w:rPr>
                <w:rFonts w:ascii="Calibri" w:hAnsi="Calibri" w:eastAsia="Calibri" w:cs="Calibri"/>
                <w:color w:val="000000"/>
                <w:position w:val="-3"/>
                <w:sz w:val="22"/>
                <w:szCs w:val="22"/>
              </w:rPr>
              <w:t xml:space="preserve"> (d'Orbigny)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island apple snail</w:t>
            </w:r>
            <w:hyperlink r:id="rId58306803beeee2c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16436803beeee2d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007569" name="name10206803beeee349f" descr="145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64.jpg"/>
                          <pic:cNvPicPr/>
                        </pic:nvPicPr>
                        <pic:blipFill>
                          <a:blip r:embed="rId80736803beeee349d" cstate="print"/>
                          <a:stretch>
                            <a:fillRect/>
                          </a:stretch>
                        </pic:blipFill>
                        <pic:spPr>
                          <a:xfrm>
                            <a:off x="0" y="0"/>
                            <a:ext cx="2160000" cy="1281600"/>
                          </a:xfrm>
                          <a:prstGeom prst="rect">
                            <a:avLst/>
                          </a:prstGeom>
                          <a:ln w="0">
                            <a:noFill/>
                          </a:ln>
                        </pic:spPr>
                      </pic:pic>
                    </a:graphicData>
                  </a:graphic>
                </wp:inline>
              </w:drawing>
            </w:r>
            <w:hyperlink r:id="rId52006803beeee35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has been confused with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another South American species that become a transcontinental invader), especially in invaded areas of South-East Asia but also in its native range. The list of synonyms for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was compiled by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information about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considerably less than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but it is also possible that some of its impacts have been attributed to the latter species. The name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was widely used for one of the South American apple snails that invaded South-East Asia and Southern North America but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synonymized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Pomacea gigas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established it as a different species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they also provided a list of articles in which the two species have been confused or correctly identified. However, the taxonomic situation in South-East Asia and other invaded regions may be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may be locally frequent in the native range (up to 30% of the snails analysed;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may reach up to 53% in South-East Asia where pure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snails are common but pure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extremely rare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are usually regarded as macrophytophagous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they have no host plants in a strict sense (i.e. a plant to which some stage of the life cycle is closely linked).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uses aquatic macrophytes, mostly floating and submerged ones, primarily as food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It also uses emergent or riparian plants as a substrate for egg laying but they can also use any emergent substrate, either natural or artificial, as an oviposition site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trophic ecology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(often under the name </w:t>
      </w:r>
      <w:r>
        <w:rPr>
          <w:rFonts w:ascii="Calibri" w:hAnsi="Calibri" w:eastAsia="Calibri" w:cs="Calibri"/>
          <w:i/>
          <w:iCs/>
          <w:color w:val="000000"/>
          <w:sz w:val="22"/>
          <w:szCs w:val="22"/>
        </w:rPr>
        <w:t xml:space="preserve">P. insularum</w:t>
      </w:r>
      <w:r>
        <w:rPr>
          <w:rFonts w:ascii="Calibri" w:hAnsi="Calibri" w:eastAsia="Calibri" w:cs="Calibri"/>
          <w:color w:val="000000"/>
          <w:sz w:val="22"/>
          <w:szCs w:val="22"/>
        </w:rPr>
        <w:t xml:space="preserve">) has been studied almost entirely in the invaded range through palatability trials (no-choice feeding trials)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 The list of plants that can be attacked when no alternative food is provided is very long and includes species that would not normally be reached and consumed by the snails (e.g. riparian or terrestrial species). Generally, they do not eat emergent plants like cattails and reeds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Low &amp; Anderson, 2017). Nevertheless,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has strong preferences for some aquatic plants over others, as shown by multi-species trials (Morrison &amp; Hay, 2011). The high levels of damage to rice are probably more related to factors favouring high densities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rice fields (shallow water, access to air, egg laying substrates, plant detritus, algae, biofilms, etc.) than to any preference or specificity of these apple snails for these crops.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to eat the following aquatic plants in no-choice trials (Bernatis, 2014;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Low &amp; Anderson, 2017; Morrison &amp; Hay, 2011):</w:t>
      </w:r>
      <w:r>
        <w:rPr>
          <w:rFonts w:ascii="Calibri" w:hAnsi="Calibri" w:eastAsia="Calibri" w:cs="Calibri"/>
          <w:i/>
          <w:iCs/>
          <w:color w:val="000000"/>
          <w:sz w:val="22"/>
          <w:szCs w:val="22"/>
        </w:rPr>
        <w:t xml:space="preserve"> Alternanthera philoxeroides, Bacopa caroliniana,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Colocasia esculenta, </w:t>
      </w:r>
      <w:r>
        <w:rPr>
          <w:rFonts w:ascii="Calibri" w:hAnsi="Calibri" w:eastAsia="Calibri" w:cs="Calibri"/>
          <w:i/>
          <w:iCs/>
          <w:color w:val="000000"/>
          <w:sz w:val="22"/>
          <w:szCs w:val="22"/>
        </w:rPr>
        <w:t xml:space="preserve">Hydrilla verticillata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Limnobium spongia, </w:t>
      </w:r>
      <w:r>
        <w:rPr>
          <w:rFonts w:ascii="Calibri" w:hAnsi="Calibri" w:eastAsia="Calibri" w:cs="Calibri"/>
          <w:i/>
          <w:iCs/>
          <w:color w:val="000000"/>
          <w:sz w:val="22"/>
          <w:szCs w:val="22"/>
        </w:rPr>
        <w:t xml:space="preserve">Myriophyllum spicatum, </w:t>
      </w:r>
      <w:r>
        <w:rPr>
          <w:rFonts w:ascii="Calibri" w:hAnsi="Calibri" w:eastAsia="Calibri" w:cs="Calibri"/>
          <w:i/>
          <w:iCs/>
          <w:color w:val="000000"/>
          <w:sz w:val="22"/>
          <w:szCs w:val="22"/>
        </w:rPr>
        <w:t xml:space="preserve">Najas guadalupensis</w:t>
      </w:r>
      <w:r>
        <w:rPr>
          <w:rFonts w:ascii="Calibri" w:hAnsi="Calibri" w:eastAsia="Calibri" w:cs="Calibri"/>
          <w:i/>
          <w:iCs/>
          <w:color w:val="000000"/>
          <w:sz w:val="22"/>
          <w:szCs w:val="22"/>
        </w:rPr>
        <w:t xml:space="preserve">, Nuphar advena,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Nymphaea odorata, Panicum hemitomon, </w:t>
      </w:r>
      <w:r>
        <w:rPr>
          <w:rFonts w:ascii="Calibri" w:hAnsi="Calibri" w:eastAsia="Calibri" w:cs="Calibri"/>
          <w:i/>
          <w:iCs/>
          <w:color w:val="000000"/>
          <w:sz w:val="22"/>
          <w:szCs w:val="22"/>
        </w:rPr>
        <w:t xml:space="preserve">Panicum repens,</w:t>
      </w:r>
      <w:r>
        <w:rPr>
          <w:rFonts w:ascii="Calibri" w:hAnsi="Calibri" w:eastAsia="Calibri" w:cs="Calibri"/>
          <w:i/>
          <w:iCs/>
          <w:color w:val="000000"/>
          <w:sz w:val="22"/>
          <w:szCs w:val="22"/>
        </w:rPr>
        <w:t xml:space="preserve"> Pontederia (</w:t>
      </w:r>
      <w:r>
        <w:rPr>
          <w:rFonts w:ascii="Calibri" w:hAnsi="Calibri" w:eastAsia="Calibri" w:cs="Calibri"/>
          <w:i/>
          <w:iCs/>
          <w:color w:val="000000"/>
          <w:sz w:val="22"/>
          <w:szCs w:val="22"/>
        </w:rPr>
        <w:t xml:space="preserve">Eichhornia) crassipes, </w:t>
      </w:r>
      <w:r>
        <w:rPr>
          <w:rFonts w:ascii="Calibri" w:hAnsi="Calibri" w:eastAsia="Calibri" w:cs="Calibri"/>
          <w:i/>
          <w:iCs/>
          <w:color w:val="000000"/>
          <w:sz w:val="22"/>
          <w:szCs w:val="22"/>
        </w:rPr>
        <w:t xml:space="preserve">Potamogeton illinoensis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Ruppia maritima, </w:t>
      </w:r>
      <w:r>
        <w:rPr>
          <w:rFonts w:ascii="Calibri" w:hAnsi="Calibri" w:eastAsia="Calibri" w:cs="Calibri"/>
          <w:i/>
          <w:iCs/>
          <w:color w:val="000000"/>
          <w:sz w:val="22"/>
          <w:szCs w:val="22"/>
        </w:rPr>
        <w:t xml:space="preserve">Sagittaria latifolia, Sagittaria lancifolia, Schoenoplectus californicus,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Utricularia </w:t>
      </w:r>
      <w:r>
        <w:rPr>
          <w:rFonts w:ascii="Calibri" w:hAnsi="Calibri" w:eastAsia="Calibri" w:cs="Calibri"/>
          <w:color w:val="000000"/>
          <w:sz w:val="22"/>
          <w:szCs w:val="22"/>
        </w:rPr>
        <w:t xml:space="preserve">sp</w:t>
      </w:r>
      <w:r>
        <w:rPr>
          <w:rFonts w:ascii="Calibri" w:hAnsi="Calibri" w:eastAsia="Calibri" w:cs="Calibri"/>
          <w:i/>
          <w:iCs/>
          <w:color w:val="000000"/>
          <w:sz w:val="22"/>
          <w:szCs w:val="22"/>
        </w:rPr>
        <w:t xml:space="preserve">., Vallisneria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Zizania aquatica</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Ceratophyllum demersum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Hymenocallis liriosme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Limnobium spongia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spicatum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Najas guadalupensis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Nuphar advena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hemitomon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Potamogeton illinoensis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Ruppia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lancifolia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Schoenoplectus californicus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Zizania aquatica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comprises parts of Argentina, Uruguay, Paraguay and Brazil in South America, from the Paraná River to the Amazonas River Basin and probably also includes Bolivia, Peru and Ecuador (Hayes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While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its distribution to contiguous and disjunct areas in Argentina and also to other South American countries in the last decades,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rarely found outside its historical distribution range (Seuffert &amp; Martín,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introduced to many countries in different continents, mainly as a potential aquaculture organism and also as an aquarium pet, although not to the same extent than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The list of countries where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been reported and the dates of introduction or first record was updated by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South-Eastern Asia it was introduced to Thailand in 1990, to Cambodia before 1995, to China in 2006, to Japan, Malaysia, Singapore, Vietnam and South Korea in 2008 and to the Philippines in 2013. Genetic molecular analyses indicate that Argentinian and Brazilian populations were the source of South-East Asian populations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also been reported in other regions of Asia such as Israel (2008) and Pakistan (2009). In the USA it has been reported in several southeastern states since 1989 and for the first time in Europe in 2009, in the Ebro River Delta (Spain).</w:t>
      </w:r>
    </w:p>
    <w:p>
      <w:r>
        <w:drawing>
          <wp:inline distT="0" distB="0" distL="0" distR="0">
            <wp:extent cx="6120000" cy="3067200"/>
            <wp:docPr id="32458471" name="name57446803beeee5087" descr="POMA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IN_distribution_map.jpg"/>
                    <pic:cNvPicPr/>
                  </pic:nvPicPr>
                  <pic:blipFill>
                    <a:blip r:embed="rId24706803beeee508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(Sichuan, Zhejiang), Indonesia (Kalimantan), Israel, Japan (Honshu, Ryukyu Archipelago), Korea, Republic of, Malaysia, Pakistan,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Florida, Georgia, Louisiana, South Carolina,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Goias, Maranhao, Mato Grosso, Mato Grosso do Sul, Rio de Janeiro, Santa Catarina), Paraguay,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is a very large freshwater snail that inhabits a great variety of habitats, such as shallow lakes, permanent and ephemeral ponds, rivers, streams, reservoirs, paddy fields, channels, etc.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Density can be very different in each habitat type, for instance, less than 2 snails per square metre in permanent habitats compared to more than 132 snails per square metre in ephemeral ones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It can be found underwater on muddy sediment, bedrock or on aquatic plants, either submerged, floating or emergent.</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has a dual respiratory system (a well-developed aquatic gill or ctenidium and an aerial lung), enabling it to perform aquatic and aerial respiration simultaneously and also allowing survival out of water and survival in water with no access to air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is oviparous and dioecious and its reproductive habits are unusual among freshwater snails: females climb out of water onto emergent substrates to deposit bulky egg masses formed by hundreds to thousands of pink eggs with calcareous eggshells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All other activities (crawling, feeding, respiration, copulation, etc.) are performed underwater.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 masses are seldom attacked by predators, due to a complex suite of proteins with antidigestive, neurotoxic and antinutritive properties present in the perivitelline fluid that protects and nourishes the embryo inside the eggshell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Embryonic development takes place aerially inside the cleidoic egg and after 10 to 14 days the eggshell cracks and the hatchlings fall into the water. The embryos in the eggs can endure submersion but they need 6-9 days out of water to complete development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Submergence reduces hatching efficiency, but the effect diminishes with the age of the egg mass: less than 6 day-old egg masses may fail completely but the hatching efficiency varies between 38-87 % for 9 day-old egg masses.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hatchlings are quite tolerant to salinity and are able to survive in brackish water (salinities up to 8 psu) for two weeks (Underwood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most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the life cycle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direct and simple: the hatchlings drop into the water and immediately crawl to reach the water surface and begin to breathe air and to eat; during the first days they consume the reserves of perivitelline fluid stored in their guts after which they can be considered as juveniles. Most life history traits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their plasticity are unknown, but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compiled the available information.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attains sexual maturity and shows copulatory activity at a shell length of 30-33 mm, three to four months after hatching, and they probably live for one to three years, with a potential fecundity of 36 000 to 54 000 eggs per female. However, egg mass viability can be very low and even null.</w:t>
      </w:r>
    </w:p>
    <w:p>
      <w:pPr>
        <w:widowControl w:val="on"/>
        <w:pBdr/>
        <w:spacing w:before="220" w:after="220" w:line="240" w:lineRule="auto"/>
        <w:ind w:left="0" w:right="0"/>
        <w:jc w:val="both"/>
      </w:pPr>
      <w:r>
        <w:rPr>
          <w:rFonts w:ascii="Calibri" w:hAnsi="Calibri" w:eastAsia="Calibri" w:cs="Calibri"/>
          <w:color w:val="000000"/>
          <w:sz w:val="22"/>
          <w:szCs w:val="22"/>
        </w:rPr>
        <w:t xml:space="preserve">Water temperature is of major importance in apple snail biology and ecology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feeds between 15 and 35°C and grows between 20 and 35°C but the highest rates are attained at 30°C (Gettys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After ten days at 15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remains active and showed no mortality but at 10 °C and 5 °C activity is reduced and mortality increases to 50 and 60 %; no snail survived after five days at 0 °C; nevertheless,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has established in locations where freezing temperatures occur in winter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Upper lethal limits are around 35-36.6 °C.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snails often live in ephemeral habitats and are able to aestivate during the dry season. Adults may survive for a year on moist sand if air relative humidity is higher than 80% but only for 22 weeks if the sand is dry and the relative humidity lower than 60 %. Even though adult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survive for three days at salinities of 10 psu, activity and feeding rates are almost null above 6 psu (McAskill &amp; Douglass, 2017). They are able to crawl over dry land for three hours at a speed of 3 m per hour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if water conditions are too stressful or if the waterbody dries 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on aquatic plants are quite unspecific and depend on the interaction of the feeding mechanism (combined action of the radula, a flexible ribbon with up to 35 seven-teeth rows, and a pair of stout jaws) with plant anatomy. The attacks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usually concentrated in floating or submersed leaves and stems of aquatic plants but they also feed on their roots, bulbs and rhizomes if they are accessible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Bernatis, 2014). The attacked leaf blades show irregularly chewed margins, sometimes leaving only the main veins, but they could also appear as irregular holes. When feeding on emergent plants such as reeds the snails prefer new stems and shoots and do not attack older parts. Small floating plants such as duckweeds can be ingested in one bite by adult apple snails.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attacks the stems of </w:t>
      </w:r>
      <w:r>
        <w:rPr>
          <w:rFonts w:ascii="Calibri" w:hAnsi="Calibri" w:eastAsia="Calibri" w:cs="Calibri"/>
          <w:i/>
          <w:iCs/>
          <w:color w:val="000000"/>
          <w:sz w:val="22"/>
          <w:szCs w:val="22"/>
        </w:rPr>
        <w:t xml:space="preserve">V. americana</w:t>
      </w:r>
      <w:r>
        <w:rPr>
          <w:rFonts w:ascii="Calibri" w:hAnsi="Calibri" w:eastAsia="Calibri" w:cs="Calibri"/>
          <w:color w:val="000000"/>
          <w:sz w:val="22"/>
          <w:szCs w:val="22"/>
        </w:rPr>
        <w:t xml:space="preserve"> just above the sediment and cuts-off the floating blades.</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consideration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as a rice pest is due to its grazing on developing seedlings, especially when rice is directly seeded. Seedlings increase their resistance to apple snail grazing as they grow and apple snails increase their capacity to attack rice as they grow but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it can be avoided if soil is maintained saturated but with no free water above it. The big and pink egg masses on plants or other emergent substrates in rice fields or channels are an early warning of an increasing apple snail population. Round areas with no rice are a common symptom of apple snail infestation in rice fields, but they appear late, when population density or biomass are already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is a very large apple snail, reaching up to 16.5 cm from the apex of the shell to the farthest point of the aperture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thick and usually smooth, globose, with a large ovoid aperture and a low spire; the suture is usually deeply channelled. The shell is yellowish brown, usually with several reddish to dark brown spiral bands of variable width, fine growth lines and thick arrest marks. The inner lip of the aperture of adult snails is usually pigmented (yellow to orange-red). The operculum is corneous, thick and inflexible, with concentric growth lines around an eccentric nucleus. Shell morphology, including shape, size, thickness and colouration, is frequently used for species identification but may be misleading since shells are similar in many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and there is ample intraspecific variability in many of them.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eggs are spherical, 1.94 mm in diameter and pink red to orange pink; the egg masses usually contain hundreds to thousands of loosely packed eggs (1500 on average and up to 4500).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a waterbody can be determined by searching for adult snails, empty shells, shell remains and egg masses (Pierre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field,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and congeners are most easily detected by the observation of their conspicuous aerial pink eggs-masses on emergent structures, allowing early detection even at low adult densities (EFSA, 2020). Egg masses can be found on almost any object emerging a few centimetres from the water surface (e.g. emergent plants, trees, poles, piers, rocks, boats, etc.). Floating objects usually cannot be reached by egg-laying females, unless they are touching the bottom of the water body or other submerged objects.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more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leaving only a white mark with remains of eggshells or a few unhatched eggs. However,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congeners can be detected by visual examination while wading or boating if water depth and turbidity are low but juveniles and hatchlings are not easy to spot. In turbid waters or among vegetation, adults can be detected underwater by touch. In shallow areas with vegetation apple snail density was monitored using 0.25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quadrats (Burlakova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Snail activity decreases as temperature decreases and they become inactive when water temperature drops below 15°C, when they may bury in the sediments. Garden rakes passed through submerged vegetation, detritus and sediments can be used to detect hidden or inactive snails (Gooding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Inspection of old strandlines could reveal the presence of empty shells and opercula, even if snails are inactive or buried at that time. Baited traps (e.g. grain and sugar placed in black plastic containers) can be used to attract apple snails and also as a control method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However, anatomical examination of soft parts of live or well preserved adults by a trained malacologist is required for species confirmation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Yang &amp; Yu, 2019). Mitochondrial genetic markers (mostly COI) are usually used to discriminate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use of nuclear markers may also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can disperse through a variety of natural mechanisms that allow displacement at different spatial scales (Smith, 2006;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Crawling and climbing are the only two modes of active apple snail movements, mostly within a waterbody or between contiguous ones. Apple snails can crawl several metres per day in streams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is even able to crawl several metres over dry land (Mueck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Climbing out of water to lay eggs or to avoid fouled water is a common way in which apple snails may leave a tank or channel and later drop outside and may reach a nearby waterbody or waterway.</w:t>
      </w:r>
    </w:p>
    <w:p>
      <w:pPr>
        <w:widowControl w:val="on"/>
        <w:pBdr/>
        <w:spacing w:before="220" w:after="220" w:line="240" w:lineRule="auto"/>
        <w:ind w:left="0" w:right="0"/>
        <w:jc w:val="both"/>
      </w:pPr>
      <w:r>
        <w:rPr>
          <w:rFonts w:ascii="Calibri" w:hAnsi="Calibri" w:eastAsia="Calibri" w:cs="Calibri"/>
          <w:color w:val="000000"/>
          <w:sz w:val="22"/>
          <w:szCs w:val="22"/>
        </w:rPr>
        <w:t xml:space="preserve">Floating and drifting are two ways in which apple snails can disperse passively within a water body or water course, probably at a scale from a few metres to hundreds of metres (if aided by wind or water currents). Floating is favoured by the air inside the lung but it can also take place attached to floating macrophyte mats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Snails may float or drift downstream with the current until they sink to the bottom or attach to the vegetation. Flooding facilitates the spread through these passive mechanisms. The capacity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other apple snails to endure desiccation and starvation and the aerial development of eggs increase the chances of anthropogenic transport, either incidental or intentional, and successful establishment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capacity of fecundated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females to lay an egg mass with hundreds to thousands of eggs increases the chances of establishment.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and congeners has taken place through legal pathways and has even been supported by government agencies, but unregulated and illegal transport is common (Smith, 2006;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across international borders and between continents.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probably occurs most frequently through small hatchlings and remains of egg masses. The aquatic plants trade is a likely pathway for long distance movement of both life stages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deposited on boats can be transported during navigation (Gutierre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transported overland to a different waterbody until the eggs hatch. Egg masses and hatchlings can also be inadvertently transported with machinery used for agricultural activities or channel construction and maintenance.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on agriculture are huge, especially in tropical countries where rice is one of the main crops, such as in South-East Asia. The economic impacts are the result of direct productivity losses due to the damage to crops plus the costs of control measures against the snail. Economic impacts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alone has rarely been assessed but for the Ebro delta, where it is the only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 the costs of eradication and control have been estimated at 5.3 million EUR between 2010 and 2012 and 5 million EUR for the period 2014–2020 (Bertolero &amp; Navarro, 2018). Costs associated with apple snail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 total annual cost between 806–2138 million USD was estimated for the rice sector of the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Economic estimates are not available yet for the multiple environmental impacts of apple snail invasions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2014b;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for instance an increase in transmission of emerging human diseases and the loss or deterioration of ecosystem services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control methods against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have been proposed and applied mostly in aquatic crops but in the particular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several small scale eradication attempts were made in natural or man-managed wetlands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In the case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ecological impacts on natural wetlands and endangered species prompted many studies in southern areas of the USA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damage to rice through a restriction of apple snail activities and of their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Manipulation of water levels may also be used to submerse egg masses or to leave hatchlings, juveniles and adults out of water, where there may die by desiccation or be attacked by predators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Ebro Delta winter flooding of rice fields was stopped to attempt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with no negative effects on the abundance of birds that use them to feed (Bernardo-Madrid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temporary flooding with marine water of rice fields and channels, especially the latter, have also been used in this irrigation system to control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(Gencat, 2018).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and also in natural and artificial wetlands invaded by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can be very effective, inexpensive and environmentally friendly (Bernatis &amp; Warren, 2014), especially in small and isolated wetlands.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apple snails is an effective but time-consuming control method that can be improved by using plant baits and digging furrows inside the fields where snails congregate.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seem especially susceptible to baiting and trapping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Mechanical methods include the intensification of customary cultural practices, such as tillage and puddling of rice fields, which can crush a high percentage of the snail population, especially hibernating ones. </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methods, including application of copper sulphate, methaldehyde, niclosamide and diverse insecticides, are frequently used against apple snails because they are very effective although they are not specific and may harm other aquatic animals (Horgan, 2017;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Because of their lower side effects on other animals, new molluscicides based on plant extracts have been tried against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in the Ebro Delta (Castillo-Ruiz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Fertilizers commonly used in rice fields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and may also be predatory to </w:t>
      </w:r>
      <w:r>
        <w:rPr>
          <w:rFonts w:ascii="Calibri" w:hAnsi="Calibri" w:eastAsia="Calibri" w:cs="Calibri"/>
          <w:i/>
          <w:iCs/>
          <w:color w:val="000000"/>
          <w:sz w:val="22"/>
          <w:szCs w:val="22"/>
        </w:rPr>
        <w:t xml:space="preserve">P. maculata </w:t>
      </w:r>
      <w:r>
        <w:rPr>
          <w:rFonts w:ascii="Calibri" w:hAnsi="Calibri" w:eastAsia="Calibri" w:cs="Calibri"/>
          <w:color w:val="000000"/>
          <w:sz w:val="22"/>
          <w:szCs w:val="22"/>
        </w:rPr>
        <w:t xml:space="preserve">(Burks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Farming ducks and fish in rice fields are effective ways of controlling apple snail populations. However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adults of latter species may be invulnerable to many of these predators due to their big size, thick shell and hard operculum. On the contrary, the small size of</w:t>
      </w:r>
      <w:r>
        <w:rPr>
          <w:rFonts w:ascii="Calibri" w:hAnsi="Calibri" w:eastAsia="Calibri" w:cs="Calibri"/>
          <w:i/>
          <w:iCs/>
          <w:color w:val="000000"/>
          <w:sz w:val="22"/>
          <w:szCs w:val="22"/>
        </w:rPr>
        <w:t xml:space="preserve"> P. maculata </w:t>
      </w:r>
      <w:r>
        <w:rPr>
          <w:rFonts w:ascii="Calibri" w:hAnsi="Calibri" w:eastAsia="Calibri" w:cs="Calibri"/>
          <w:color w:val="000000"/>
          <w:sz w:val="22"/>
          <w:szCs w:val="22"/>
        </w:rPr>
        <w:t xml:space="preserve">hatchlings renders them more susceptible than those of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 to predation by crawfish (Dorn &amp; Hafsadi, 2016) and freshwater prawns like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whose biotechnologically developed all-male strains have been tried for inundative biocontrol of apple snails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in Ecuador, farmers enhanced predation by highly specialized birds of prey (snail kites)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Snail kites are also able to feed on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(Cattau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despite its much bigger size. Other wild native bird species, such as ibises, can also cause high levels of predation on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European Union (EU), their introduction is prohibited and official inspections for the import and movement of aquatic plants within the EU have been set to prevent their introduction and spread (EFSA, 2020).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is the first measure to avoid the multiple negative impacts associated with the introduction of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(Burks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To prevent the entry and spread of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P, Zimmanck F &amp; Baker SM (2010) Feeding rates of an introduced freshwater gastropod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on native and nonindigenous aquatic plants in Florida.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(2), 138-143.</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Bernardo-Madrid R, Vera P, Gallardo B &amp; Vilà M (2022) Stopping winter flooding of rice fields to control invasive snails has no effect on waterbird abundance at the landscape scale.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688325. </w:t>
      </w:r>
      <w:hyperlink r:id="rId42756803beeee7341" w:history="1">
        <w:r>
          <w:rPr>
            <w:rFonts w:ascii="Calibri" w:hAnsi="Calibri" w:eastAsia="Calibri" w:cs="Calibri"/>
            <w:color w:val="0000CC"/>
            <w:sz w:val="22"/>
            <w:szCs w:val="22"/>
            <w:u w:val="single"/>
          </w:rPr>
          <w:t xml:space="preserve">https://doi.org/10.3389/fevo.2021.688325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(2014) </w:t>
      </w:r>
      <w:r>
        <w:rPr>
          <w:rFonts w:ascii="Calibri" w:hAnsi="Calibri" w:eastAsia="Calibri" w:cs="Calibri"/>
          <w:i/>
          <w:iCs/>
          <w:color w:val="000000"/>
          <w:sz w:val="22"/>
          <w:szCs w:val="22"/>
        </w:rPr>
        <w:t xml:space="preserve">Morphology, ecophysiology, and impacts of nonindigenous Pomacea in Florida</w:t>
      </w:r>
      <w:r>
        <w:rPr>
          <w:rFonts w:ascii="Calibri" w:hAnsi="Calibri" w:eastAsia="Calibri" w:cs="Calibri"/>
          <w:color w:val="000000"/>
          <w:sz w:val="22"/>
          <w:szCs w:val="22"/>
        </w:rPr>
        <w:t xml:space="preserve">. PhD Thesis University of Florida. </w:t>
      </w:r>
    </w:p>
    <w:p>
      <w:pPr>
        <w:widowControl w:val="on"/>
        <w:pBdr/>
        <w:spacing w:before="220" w:after="220" w:line="240" w:lineRule="auto"/>
        <w:ind w:left="0" w:right="0"/>
        <w:jc w:val="left"/>
      </w:pPr>
      <w:r>
        <w:rPr>
          <w:rFonts w:ascii="Calibri" w:hAnsi="Calibri" w:eastAsia="Calibri" w:cs="Calibri"/>
          <w:color w:val="000000"/>
          <w:sz w:val="22"/>
          <w:szCs w:val="22"/>
        </w:rPr>
        <w:t xml:space="preserve">Bernatis JL &amp; Warren GL (2014) Effectiveness of a hand removal program for management of nonindigenous apple snails in an urban pond.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607-618.</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&amp; Navarro J (2018) A native bird as a predator for the invasive apple snail, a novel rice field invader in Europe. Aquatic </w:t>
      </w:r>
      <w:r>
        <w:rPr>
          <w:rFonts w:ascii="Calibri" w:hAnsi="Calibri" w:eastAsia="Calibri" w:cs="Calibri"/>
          <w:i/>
          <w:iCs/>
          <w:color w:val="000000"/>
          <w:sz w:val="22"/>
          <w:szCs w:val="22"/>
        </w:rPr>
        <w:t xml:space="preserve">Conservation: Marine and Freshwater Ecosystems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1099-1104.</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Kyle CH, Trawick MK (2010) Pink eggs and snails: field oviposition patterns of an invasive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indicate a preference for an invasive macrophyte.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646</w:t>
      </w:r>
      <w:r>
        <w:rPr>
          <w:rFonts w:ascii="Calibri" w:hAnsi="Calibri" w:eastAsia="Calibri" w:cs="Calibri"/>
          <w:color w:val="000000"/>
          <w:sz w:val="22"/>
          <w:szCs w:val="22"/>
        </w:rPr>
        <w:t xml:space="preserve">, 243-251.</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Hensley SA &amp; Kyle CH (2011) Quite the appetite: juvenile island apple snails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survive consuming only exotic invasive plants.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(4), 423-428.</w:t>
      </w:r>
    </w:p>
    <w:p>
      <w:pPr>
        <w:widowControl w:val="on"/>
        <w:pBdr/>
        <w:spacing w:before="220" w:after="220" w:line="240" w:lineRule="auto"/>
        <w:ind w:left="0" w:right="0"/>
        <w:jc w:val="left"/>
      </w:pPr>
      <w:r>
        <w:rPr>
          <w:rFonts w:ascii="Calibri" w:hAnsi="Calibri" w:eastAsia="Calibri" w:cs="Calibri"/>
          <w:color w:val="000000"/>
          <w:sz w:val="22"/>
          <w:szCs w:val="22"/>
        </w:rPr>
        <w:t xml:space="preserve">Burks RL, Bernatis J, Byers JE, Carter J, Martin CW, McDowell WG &amp; Van Dyke J (2017) Identity, reproductive potential, distribution, ecology and management of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the southern United States.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293-333.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Karatayev AY, Padilla DK, Cartwright LD &amp; Hollas DN (2009) Wetland restoration and invasive species: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feeding on native and invasive aquatic plants. </w:t>
      </w:r>
      <w:r>
        <w:rPr>
          <w:rFonts w:ascii="Calibri" w:hAnsi="Calibri" w:eastAsia="Calibri" w:cs="Calibri"/>
          <w:i/>
          <w:iCs/>
          <w:color w:val="000000"/>
          <w:sz w:val="22"/>
          <w:szCs w:val="22"/>
        </w:rPr>
        <w:t xml:space="preserve">Restoration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433-440.</w:t>
      </w:r>
    </w:p>
    <w:p>
      <w:pPr>
        <w:widowControl w:val="on"/>
        <w:pBdr/>
        <w:spacing w:before="220" w:after="220" w:line="240" w:lineRule="auto"/>
        <w:ind w:left="0" w:right="0"/>
        <w:jc w:val="left"/>
      </w:pPr>
      <w:r>
        <w:rPr>
          <w:rFonts w:ascii="Calibri" w:hAnsi="Calibri" w:eastAsia="Calibri" w:cs="Calibri"/>
          <w:color w:val="000000"/>
          <w:sz w:val="22"/>
          <w:szCs w:val="22"/>
        </w:rPr>
        <w:t xml:space="preserve">Burlakova LE, Padilla DK, Karatayev AY, Hollas DN, Cartwright LD &amp; Nichol KD (2010) Differences in population dynamics and potential impacts of a freshwater invader driven by temporal habitat stability.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927-941.</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Castillo-Ruiz M, Cañon-Jones H, Schlotterbeck T, Lopez MA, Tomas Á &amp; San Martín R (2018) Safety and efficacy of quinoa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saponins derived molluscicide to control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rice fields in the Ebro Delta, Spain.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Cattau CE, Fletcher RJ, Reichert BE &amp; Kitchens WM (2016) Counteracting the effects of a non-native prey on the demography of a native predator culminate in positive population growth. </w:t>
      </w:r>
      <w:r>
        <w:rPr>
          <w:rFonts w:ascii="Calibri" w:hAnsi="Calibri" w:eastAsia="Calibri" w:cs="Calibri"/>
          <w:i/>
          <w:iCs/>
          <w:color w:val="000000"/>
          <w:sz w:val="22"/>
          <w:szCs w:val="22"/>
        </w:rPr>
        <w:t xml:space="preserve">Ecological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(7), 1952-1968.</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3-32.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Dorn NJ &amp; Hafsadi M (2016) Native crayfish consume more non-native than native apple snails.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78636803beeee7983"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60666803beeee7a67"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Gencat (2018) Caracol Manzana</w:t>
      </w:r>
      <w:r>
        <w:rPr>
          <w:rFonts w:ascii="Calibri" w:hAnsi="Calibri" w:eastAsia="Calibri" w:cs="Calibri"/>
          <w:i/>
          <w:iCs/>
          <w:color w:val="000000"/>
          <w:sz w:val="22"/>
          <w:szCs w:val="22"/>
        </w:rPr>
        <w:t xml:space="preserve"> Pomacea maculata. </w:t>
      </w:r>
      <w:r>
        <w:rPr>
          <w:rFonts w:ascii="Calibri" w:hAnsi="Calibri" w:eastAsia="Calibri" w:cs="Calibri"/>
          <w:color w:val="000000"/>
          <w:sz w:val="22"/>
          <w:szCs w:val="22"/>
        </w:rPr>
        <w:t xml:space="preserve">Memoria de Actuaciones Periodo 2015-2018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Generalitat de Catalunya, Barcelona, Spain.</w:t>
      </w:r>
    </w:p>
    <w:p>
      <w:pPr>
        <w:widowControl w:val="on"/>
        <w:pBdr/>
        <w:spacing w:before="220" w:after="220" w:line="240" w:lineRule="auto"/>
        <w:ind w:left="0" w:right="0"/>
        <w:jc w:val="left"/>
      </w:pPr>
      <w:r>
        <w:rPr>
          <w:rFonts w:ascii="Calibri" w:hAnsi="Calibri" w:eastAsia="Calibri" w:cs="Calibri"/>
          <w:color w:val="000000"/>
          <w:sz w:val="22"/>
          <w:szCs w:val="22"/>
        </w:rPr>
        <w:t xml:space="preserve">Gettys LA, Haller WT, Mudge CR &amp; Koschnick TJ (2008) Effect of temperature and feeding preference on submerged plants by the island apple snail,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(d'Orbigny, 1839)(Ampullariidae). </w:t>
      </w:r>
      <w:r>
        <w:rPr>
          <w:rFonts w:ascii="Calibri" w:hAnsi="Calibri" w:eastAsia="Calibri" w:cs="Calibri"/>
          <w:i/>
          <w:iCs/>
          <w:color w:val="000000"/>
          <w:sz w:val="22"/>
          <w:szCs w:val="22"/>
        </w:rPr>
        <w:t xml:space="preserve">Veliger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Calvo C, Meerhoff M, Hayes KA &amp; Burks RL (2017) Survival, recovery, and reproduction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following exposure to drought conditions.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316-324.</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Gooding EL, Fowler AE, Knott D, Dillon RT, Brown T, Kendrick MR &amp; Kingsley-Smith PR (2018) Life history and phenological characteristics of the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in stormwater retention ponds in coastal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 SM, Darby PC, Valentine-Darby PL, Mellow DJ, Therrien M &amp; Watford M (2019) Contrasting patterns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establishment and dispersal in an Everglades wetland unit and a central Florida lake.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(10), 183.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Joshi RC, Cowie RH &amp; Sebastian LS (eds.)</w:t>
      </w:r>
      <w:r>
        <w:rPr>
          <w:rFonts w:ascii="Calibri" w:hAnsi="Calibri" w:eastAsia="Calibri" w:cs="Calibri"/>
          <w:i/>
          <w:iCs/>
          <w:color w:val="000000"/>
          <w:sz w:val="22"/>
          <w:szCs w:val="22"/>
        </w:rPr>
        <w:t xml:space="preserve"> Biology and Management of Invasive Apple Snails</w:t>
      </w:r>
      <w:r>
        <w:rPr>
          <w:rFonts w:ascii="Calibri" w:hAnsi="Calibri" w:eastAsia="Calibri" w:cs="Calibri"/>
          <w:color w:val="000000"/>
          <w:sz w:val="22"/>
          <w:szCs w:val="22"/>
        </w:rPr>
        <w:t xml:space="preserve">,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(2014a)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(2014b)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Ip JC, Mu H, Zhang Y, Sun J, Heras H, Chu KH &amp; Qiu JW (2019) Understanding the transition from water to land: Insights from multi-omic analyses of the perivitelline fluid of apple snail eggs. </w:t>
      </w:r>
      <w:r>
        <w:rPr>
          <w:rFonts w:ascii="Calibri" w:hAnsi="Calibri" w:eastAsia="Calibri" w:cs="Calibri"/>
          <w:i/>
          <w:iCs/>
          <w:color w:val="000000"/>
          <w:sz w:val="22"/>
          <w:szCs w:val="22"/>
        </w:rPr>
        <w:t xml:space="preserve">Journal of Proteomics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194</w:t>
      </w:r>
      <w:r>
        <w:rPr>
          <w:rFonts w:ascii="Calibri" w:hAnsi="Calibri" w:eastAsia="Calibri" w:cs="Calibri"/>
          <w:color w:val="000000"/>
          <w:sz w:val="22"/>
          <w:szCs w:val="22"/>
        </w:rPr>
        <w:t xml:space="preserve">, 79-88.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Kyle CH, Kropf AW &amp; Burks RL (2011) Prime waterfront real estate: apple snails choose wild taro for oviposition sites.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 630-641.</w:t>
      </w:r>
    </w:p>
    <w:p>
      <w:pPr>
        <w:widowControl w:val="on"/>
        <w:pBdr/>
        <w:spacing w:before="220" w:after="220" w:line="240" w:lineRule="auto"/>
        <w:ind w:left="0" w:right="0"/>
        <w:jc w:val="left"/>
      </w:pPr>
      <w:r>
        <w:rPr>
          <w:rFonts w:ascii="Calibri" w:hAnsi="Calibri" w:eastAsia="Calibri" w:cs="Calibri"/>
          <w:color w:val="000000"/>
          <w:sz w:val="22"/>
          <w:szCs w:val="22"/>
        </w:rPr>
        <w:t xml:space="preserve">Low L &amp; Anderson CJ (2017) The threat of a nonnative, invasive apple snail to oligohaline marshes along the Northern Gulf of Mexico. </w:t>
      </w:r>
      <w:r>
        <w:rPr>
          <w:rFonts w:ascii="Calibri" w:hAnsi="Calibri" w:eastAsia="Calibri" w:cs="Calibri"/>
          <w:i/>
          <w:iCs/>
          <w:color w:val="000000"/>
          <w:sz w:val="22"/>
          <w:szCs w:val="22"/>
        </w:rPr>
        <w:t xml:space="preserve">Journal of Coastal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(6), 1376-1382.</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McAskill S &amp; Douglass J (2017) Salinity and temperature alter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herbivory rates on </w:t>
      </w:r>
      <w:r>
        <w:rPr>
          <w:rFonts w:ascii="Calibri" w:hAnsi="Calibri" w:eastAsia="Calibri" w:cs="Calibri"/>
          <w:i/>
          <w:iCs/>
          <w:color w:val="000000"/>
          <w:sz w:val="22"/>
          <w:szCs w:val="22"/>
        </w:rPr>
        <w:t xml:space="preserve">Vallisneria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(4), 481-483.</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Lee A &amp; Guilbeaux T (2018) Physiology of the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aestivation and overland dispersal. </w:t>
      </w:r>
      <w:r>
        <w:rPr>
          <w:rFonts w:ascii="Calibri" w:hAnsi="Calibri" w:eastAsia="Calibri" w:cs="Calibri"/>
          <w:i/>
          <w:iCs/>
          <w:color w:val="000000"/>
          <w:sz w:val="22"/>
          <w:szCs w:val="22"/>
        </w:rPr>
        <w:t xml:space="preserve">The Biological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235</w:t>
      </w:r>
      <w:r>
        <w:rPr>
          <w:rFonts w:ascii="Calibri" w:hAnsi="Calibri" w:eastAsia="Calibri" w:cs="Calibri"/>
          <w:color w:val="000000"/>
          <w:sz w:val="22"/>
          <w:szCs w:val="22"/>
        </w:rPr>
        <w:t xml:space="preserve">(1), 43-51. </w:t>
      </w:r>
    </w:p>
    <w:p>
      <w:pPr>
        <w:widowControl w:val="on"/>
        <w:pBdr/>
        <w:spacing w:before="220" w:after="220" w:line="240" w:lineRule="auto"/>
        <w:ind w:left="0" w:right="0"/>
        <w:jc w:val="left"/>
      </w:pPr>
      <w:r>
        <w:rPr>
          <w:rFonts w:ascii="Calibri" w:hAnsi="Calibri" w:eastAsia="Calibri" w:cs="Calibri"/>
          <w:color w:val="000000"/>
          <w:sz w:val="22"/>
          <w:szCs w:val="22"/>
        </w:rPr>
        <w:t xml:space="preserve">Mueck K, Deaton LE &amp; Lee A (2019) Respiratory physiology and heart rate of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water, air, and during aestivation.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1-11.</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SM, Quintana-Ascencio PF, Boughton EH &amp; Jenkins DG (2017) Dispersal and local environment affect the spread of an invasive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in Florida, USA.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(9), 2647-2661.</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22(7),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&amp;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Global advances in ecology and management of golden apple snails,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Underwood EB, Darden TL, Knott DM &amp; Kingsley-Smith PR (2019) Determining the salinity tolerance of invasive Island Apple Snail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(Perry, 1810) hatchlings to assess the invasion probability in estuarine habitats in South Carolina, USA. </w:t>
      </w:r>
      <w:r>
        <w:rPr>
          <w:rFonts w:ascii="Calibri" w:hAnsi="Calibri" w:eastAsia="Calibri" w:cs="Calibri"/>
          <w:i/>
          <w:iCs/>
          <w:color w:val="000000"/>
          <w:sz w:val="22"/>
          <w:szCs w:val="22"/>
        </w:rPr>
        <w:t xml:space="preserve">Journal of Shellfish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(1),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Joshi RC, Cowie RH &amp; Sebastian LS (eds.) Biology and management of invasive apple snails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Global advances in ecology and management of golden apple snails,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 </w:t>
      </w:r>
      <w:hyperlink r:id="rId28876803beeee89d4" w:history="1">
        <w:r>
          <w:rPr>
            <w:rFonts w:ascii="Calibri" w:hAnsi="Calibri" w:eastAsia="Calibri" w:cs="Calibri"/>
            <w:color w:val="0000CC"/>
            <w:sz w:val="22"/>
            <w:szCs w:val="22"/>
            <w:u w:val="single"/>
          </w:rPr>
          <w:t xml:space="preserve">https://doi.org/10.6620/ZS.2019.58-13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Ip JCH, Zhao XX, Li JN, Jin YJ, Yu XP &amp; Qiu JW (2022) Molecular analyses revealed three morphologically similar species of non‐native apple snails and their patterns of distribution in freshwater wetlands of Hong Kong.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97-111.</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Joshi RC &amp; Sebastian LS</w:t>
      </w:r>
      <w:r>
        <w:rPr>
          <w:rFonts w:ascii="Calibri" w:hAnsi="Calibri" w:eastAsia="Calibri" w:cs="Calibri"/>
          <w:i/>
          <w:iCs/>
          <w:color w:val="000000"/>
          <w:sz w:val="22"/>
          <w:szCs w:val="22"/>
        </w:rPr>
        <w:t xml:space="preserve"> (eds.) Global advances in ecology and management of golden apple snails</w:t>
      </w:r>
      <w:r>
        <w:rPr>
          <w:rFonts w:ascii="Calibri" w:hAnsi="Calibri" w:eastAsia="Calibri" w:cs="Calibri"/>
          <w:color w:val="000000"/>
          <w:sz w:val="22"/>
          <w:szCs w:val="22"/>
        </w:rPr>
        <w:t xml:space="preserve">, pp. 345-361. Philippine Rice Research Institute, Philippines.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EPPO datasheets on pests recommended for regulation. Available online. </w:t>
      </w:r>
      <w:hyperlink r:id="rId61076803beeee8b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1941771" name="name12926803beeee8c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316803beeee8c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240189">
    <w:multiLevelType w:val="hybridMultilevel"/>
    <w:lvl w:ilvl="0" w:tplc="89911865">
      <w:start w:val="1"/>
      <w:numFmt w:val="decimal"/>
      <w:lvlText w:val="%1."/>
      <w:lvlJc w:val="left"/>
      <w:pPr>
        <w:ind w:left="720" w:hanging="360"/>
      </w:pPr>
    </w:lvl>
    <w:lvl w:ilvl="1" w:tplc="89911865" w:tentative="1">
      <w:start w:val="1"/>
      <w:numFmt w:val="lowerLetter"/>
      <w:lvlText w:val="%2."/>
      <w:lvlJc w:val="left"/>
      <w:pPr>
        <w:ind w:left="1440" w:hanging="360"/>
      </w:pPr>
    </w:lvl>
    <w:lvl w:ilvl="2" w:tplc="89911865" w:tentative="1">
      <w:start w:val="1"/>
      <w:numFmt w:val="lowerRoman"/>
      <w:lvlText w:val="%3."/>
      <w:lvlJc w:val="right"/>
      <w:pPr>
        <w:ind w:left="2160" w:hanging="180"/>
      </w:pPr>
    </w:lvl>
    <w:lvl w:ilvl="3" w:tplc="89911865" w:tentative="1">
      <w:start w:val="1"/>
      <w:numFmt w:val="decimal"/>
      <w:lvlText w:val="%4."/>
      <w:lvlJc w:val="left"/>
      <w:pPr>
        <w:ind w:left="2880" w:hanging="360"/>
      </w:pPr>
    </w:lvl>
    <w:lvl w:ilvl="4" w:tplc="89911865" w:tentative="1">
      <w:start w:val="1"/>
      <w:numFmt w:val="lowerLetter"/>
      <w:lvlText w:val="%5."/>
      <w:lvlJc w:val="left"/>
      <w:pPr>
        <w:ind w:left="3600" w:hanging="360"/>
      </w:pPr>
    </w:lvl>
    <w:lvl w:ilvl="5" w:tplc="89911865" w:tentative="1">
      <w:start w:val="1"/>
      <w:numFmt w:val="lowerRoman"/>
      <w:lvlText w:val="%6."/>
      <w:lvlJc w:val="right"/>
      <w:pPr>
        <w:ind w:left="4320" w:hanging="180"/>
      </w:pPr>
    </w:lvl>
    <w:lvl w:ilvl="6" w:tplc="89911865" w:tentative="1">
      <w:start w:val="1"/>
      <w:numFmt w:val="decimal"/>
      <w:lvlText w:val="%7."/>
      <w:lvlJc w:val="left"/>
      <w:pPr>
        <w:ind w:left="5040" w:hanging="360"/>
      </w:pPr>
    </w:lvl>
    <w:lvl w:ilvl="7" w:tplc="89911865" w:tentative="1">
      <w:start w:val="1"/>
      <w:numFmt w:val="lowerLetter"/>
      <w:lvlText w:val="%8."/>
      <w:lvlJc w:val="left"/>
      <w:pPr>
        <w:ind w:left="5760" w:hanging="360"/>
      </w:pPr>
    </w:lvl>
    <w:lvl w:ilvl="8" w:tplc="89911865" w:tentative="1">
      <w:start w:val="1"/>
      <w:numFmt w:val="lowerRoman"/>
      <w:lvlText w:val="%9."/>
      <w:lvlJc w:val="right"/>
      <w:pPr>
        <w:ind w:left="6480" w:hanging="180"/>
      </w:pPr>
    </w:lvl>
  </w:abstractNum>
  <w:abstractNum w:abstractNumId="57240188">
    <w:multiLevelType w:val="hybridMultilevel"/>
    <w:lvl w:ilvl="0" w:tplc="723471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240188">
    <w:abstractNumId w:val="57240188"/>
  </w:num>
  <w:num w:numId="57240189">
    <w:abstractNumId w:val="572401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156230" Type="http://schemas.microsoft.com/office/2011/relationships/commentsExtended" Target="commentsExtended.xml"/><Relationship Id="rId135020757" Type="http://schemas.microsoft.com/office/2011/relationships/people" Target="people.xml"/><Relationship Id="rId58306803beeee2ca4" Type="http://schemas.openxmlformats.org/officeDocument/2006/relationships/hyperlink" Target="https://gd.eppo.int/taxon/POMAIN/" TargetMode="External"/><Relationship Id="rId16436803beeee2d10" Type="http://schemas.openxmlformats.org/officeDocument/2006/relationships/hyperlink" Target="https://gd.eppo.int/taxon/POMAIN/categorization" TargetMode="External"/><Relationship Id="rId52006803beeee35c3" Type="http://schemas.openxmlformats.org/officeDocument/2006/relationships/hyperlink" Target="https://gd.eppo.int/taxon/POMAIN/photos" TargetMode="External"/><Relationship Id="rId42756803beeee7341" Type="http://schemas.openxmlformats.org/officeDocument/2006/relationships/hyperlink" Target="https://doi.org/10.3389/fevo.2021.688325" TargetMode="External"/><Relationship Id="rId78636803beeee7983" Type="http://schemas.openxmlformats.org/officeDocument/2006/relationships/hyperlink" Target="https://doi/org/10.2903/j.efsa.2012.2552" TargetMode="External"/><Relationship Id="rId60666803beeee7a67" Type="http://schemas.openxmlformats.org/officeDocument/2006/relationships/hyperlink" Target="https://pra.eppo.int/pra/cfba256e-2652-4c75-b4ff-53e7311c9e4d" TargetMode="External"/><Relationship Id="rId28876803beeee89d4" Type="http://schemas.openxmlformats.org/officeDocument/2006/relationships/hyperlink" Target="https://doi.org/10.6620/ZS.2019.58-13" TargetMode="External"/><Relationship Id="rId61076803beeee8bae" Type="http://schemas.openxmlformats.org/officeDocument/2006/relationships/hyperlink" Target="https://gd.eppo.int" TargetMode="External"/><Relationship Id="rId80736803beeee349d" Type="http://schemas.openxmlformats.org/officeDocument/2006/relationships/image" Target="media/imgrId80736803beeee349d.jpg"/><Relationship Id="rId24706803beeee5084" Type="http://schemas.openxmlformats.org/officeDocument/2006/relationships/image" Target="media/imgrId24706803beeee5084.jpg"/><Relationship Id="rId19316803beeee8c6b" Type="http://schemas.openxmlformats.org/officeDocument/2006/relationships/image" Target="media/imgrId19316803beeee8c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