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latithorax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latithorax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(Pierce)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9064669e75880b6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750669e75880b67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343473" name="name1776669e75880bd71" descr="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1.jpg"/>
                          <pic:cNvPicPr/>
                        </pic:nvPicPr>
                        <pic:blipFill>
                          <a:blip r:embed="rId2506669e75880bd6f" cstate="print"/>
                          <a:stretch>
                            <a:fillRect/>
                          </a:stretch>
                        </pic:blipFill>
                        <pic:spPr>
                          <a:xfrm>
                            <a:off x="0" y="0"/>
                            <a:ext cx="2160000" cy="1281600"/>
                          </a:xfrm>
                          <a:prstGeom prst="rect">
                            <a:avLst/>
                          </a:prstGeom>
                          <a:ln w="0">
                            <a:noFill/>
                          </a:ln>
                        </pic:spPr>
                      </pic:pic>
                    </a:graphicData>
                  </a:graphic>
                </wp:inline>
              </w:drawing>
            </w:r>
            <w:hyperlink r:id="rId7005669e75880bed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Pierce (1914) as </w:t>
      </w:r>
      <w:r>
        <w:rPr>
          <w:rFonts w:ascii="Calibri" w:hAnsi="Calibri" w:eastAsia="Calibri" w:cs="Calibri"/>
          <w:i/>
          <w:iCs/>
          <w:color w:val="000000"/>
          <w:sz w:val="22"/>
          <w:szCs w:val="22"/>
        </w:rPr>
        <w:t xml:space="preserve">Trypopremnon latithorax</w:t>
      </w:r>
      <w:r>
        <w:rPr>
          <w:rFonts w:ascii="Calibri" w:hAnsi="Calibri" w:eastAsia="Calibri" w:cs="Calibri"/>
          <w:color w:val="000000"/>
          <w:sz w:val="22"/>
          <w:szCs w:val="22"/>
        </w:rPr>
        <w:t xml:space="preserve">, but Kuschel (1949) synonymized the genus </w:t>
      </w:r>
      <w:r>
        <w:rPr>
          <w:rFonts w:ascii="Calibri" w:hAnsi="Calibri" w:eastAsia="Calibri" w:cs="Calibri"/>
          <w:i/>
          <w:iCs/>
          <w:color w:val="000000"/>
          <w:sz w:val="22"/>
          <w:szCs w:val="22"/>
        </w:rPr>
        <w:t xml:space="preserve">Trypopremnon</w:t>
      </w:r>
      <w:r>
        <w:rPr>
          <w:rFonts w:ascii="Calibri" w:hAnsi="Calibri" w:eastAsia="Calibri" w:cs="Calibri"/>
          <w:color w:val="000000"/>
          <w:sz w:val="22"/>
          <w:szCs w:val="22"/>
        </w:rPr>
        <w:t xml:space="preserve"> Pierce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is widely distributed in the central highlands of Peru, in Bolivia and in Northern Chile (Aréstigui, 1976; Alcazar &amp; Cisneros, 1999; Yábar Landa, 2014).</w:t>
      </w:r>
    </w:p>
    <w:p>
      <w:r>
        <w:drawing>
          <wp:inline distT="0" distB="0" distL="0" distR="0">
            <wp:extent cx="6120000" cy="3067200"/>
            <wp:docPr id="57267539" name="name3708669e75880cd0a" descr="PREM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LA_distribution_map.jpg"/>
                    <pic:cNvPicPr/>
                  </pic:nvPicPr>
                  <pic:blipFill>
                    <a:blip r:embed="rId1387669e75880cd0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(Carrasco, 1961; Tisoc Dueñas, 1989; Carvajal Pinto, 1993; Alcázar &amp; Cisneros, 1999).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pass the  dry winter season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after passing through several larval instars (four in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When fully grown, the last instar larva leaves the tuber and prepares an earthen cell for pupation in the surrounding soil. There is one generation per year. Adults may live for six to eight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w:t>
      </w:r>
      <w:r>
        <w:rPr>
          <w:rFonts w:ascii="Calibri" w:hAnsi="Calibri" w:eastAsia="Calibri" w:cs="Calibri"/>
          <w:color w:val="000000"/>
          <w:sz w:val="22"/>
          <w:szCs w:val="22"/>
        </w:rPr>
        <w:t xml:space="preserve">make them </w:t>
      </w:r>
      <w:r>
        <w:rPr>
          <w:rFonts w:ascii="Calibri" w:hAnsi="Calibri" w:eastAsia="Calibri" w:cs="Calibri"/>
          <w:color w:val="000000"/>
          <w:sz w:val="22"/>
          <w:szCs w:val="22"/>
        </w:rPr>
        <w:t xml:space="preserve">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well-developed superciliary arches (swellings above each eye, like ‘eye-brows’); pronotum with blunt lateral swelling at base (Kuschel, 1956; Alcázar &amp; Cisneros, 1999; Yábar Landa,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pitfall traps.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inspecting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molecular characterization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is available through four gene sequences of the nuclear 18S and 28S ribosomal RNA, the mitochondrial 16S ribosomal RNA and the mitochondrial cytochrome c oxidase subunit I (COI) markers, obtained in the context of a phylogenetic analysis of Entiminae (Marvaldi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The sequences are deposited in GenBank (accession codes MH746316, MH746365, MH746416, MH734204) and would allow molecular identification of any life stage of the species. In particular, the COI (barcode) gene could be applied as a molecular tool for quarantine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in international trade. Larvae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have been intercepted on South American potatoes imported into the USA (Pierce, 1914).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 Germar, are collectively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there are reports on adults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destroying fields of young potato plants entirely (Aréstigui, 1976). Major damage is caused by the larvae feeding on the tubers, with the consequent loss of their commercial value, and yield reductions for up to 50 % (Ortiz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Larval damage to tubers is especially important when populations are high, and as many as 20 larvae may be found feeding in one tuber. In Peru, 70-100% of unsprayed potato crops may be infested with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has been mainly achieved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species, including: biological control, with entomopathogenic fungi or nematodes, use of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 </w:t>
      </w:r>
    </w:p>
    <w:p>
      <w:pPr>
        <w:widowControl w:val="on"/>
        <w:pBdr/>
        <w:spacing w:before="220" w:after="220" w:line="240" w:lineRule="auto"/>
        <w:ind w:left="0" w:right="0"/>
        <w:jc w:val="left"/>
      </w:pPr>
      <w:r>
        <w:rPr>
          <w:rFonts w:ascii="Calibri" w:hAnsi="Calibri" w:eastAsia="Calibri" w:cs="Calibri"/>
          <w:color w:val="000000"/>
          <w:sz w:val="22"/>
          <w:szCs w:val="22"/>
        </w:rPr>
        <w:t xml:space="preserve">Aréstigui PA (1976) [Potato pests in Andahuaylas-Apurimac].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97-98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Carrasco FZ (1961) [Systematics and biology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30-43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Carvajal Pinto C (1993) [Biology, geographical distribution, population fluctuation and control of the Andes weevil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the locality of Aguirre]. Cochabamba, Thesis of the Universidad Mayor de San Simon: 123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5587669e75880d87e"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6297669e75880d919"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Gandarilla A, Gallo R, Zapata B (2000) Bolivia. In: Transgenic potatoes for the benefit or resource-poor farmers in developing countries. </w:t>
      </w:r>
      <w:r>
        <w:rPr>
          <w:rFonts w:ascii="Calibri" w:hAnsi="Calibri" w:eastAsia="Calibri" w:cs="Calibri"/>
          <w:i/>
          <w:iCs/>
          <w:color w:val="000000"/>
          <w:sz w:val="22"/>
          <w:szCs w:val="22"/>
        </w:rPr>
        <w:t xml:space="preserve">Proceedings of the International Workshop</w:t>
      </w:r>
      <w:r>
        <w:rPr>
          <w:rFonts w:ascii="Calibri" w:hAnsi="Calibri" w:eastAsia="Calibri" w:cs="Calibri"/>
          <w:color w:val="000000"/>
          <w:sz w:val="22"/>
          <w:szCs w:val="22"/>
        </w:rPr>
        <w:t xml:space="preserve">. Manchester, United Kingdom, 5-9 June 2000, pp. 14-17.</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2929669e75880da3b"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(1949) [The Curculionidae of the extreme North of Chile (Coleoptera, Curcul. AP. 6)]. </w:t>
      </w:r>
      <w:r>
        <w:rPr>
          <w:rFonts w:ascii="Calibri" w:hAnsi="Calibri" w:eastAsia="Calibri" w:cs="Calibri"/>
          <w:i/>
          <w:iCs/>
          <w:color w:val="000000"/>
          <w:sz w:val="22"/>
          <w:szCs w:val="22"/>
        </w:rPr>
        <w:t xml:space="preserve">Acta Zoológica Lilloana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del Rio MG, Rocamundi N, Pereyra VA &amp; Lanteri AA (2018) A combined molecular and morphological approach to explore the higher phylogeny of entimine weevils (Coleoptera: Curculionidae), with special reference to South American taxa.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10, 95</w:t>
      </w:r>
      <w:r>
        <w:rPr>
          <w:rFonts w:ascii="Calibri" w:hAnsi="Calibri" w:eastAsia="Calibri" w:cs="Calibri"/>
          <w:color w:val="000000"/>
          <w:sz w:val="22"/>
          <w:szCs w:val="22"/>
        </w:rPr>
        <w:t xml:space="preserve">, 1-30. </w:t>
      </w:r>
      <w:hyperlink r:id="rId5660669e75880dbbf" w:history="1">
        <w:r>
          <w:rPr>
            <w:rFonts w:ascii="Calibri" w:hAnsi="Calibri" w:eastAsia="Calibri" w:cs="Calibri"/>
            <w:color w:val="0000CC"/>
            <w:sz w:val="22"/>
            <w:szCs w:val="22"/>
            <w:u w:val="single"/>
          </w:rPr>
          <w:t xml:space="preserve">https://doi.org/10.3390/d10030095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Ortiz OJ, Alcázar J, Catalán W, Villano W. Cerna V, Fano H &amp; Walker TS (1996) Economic impact of IPM practices on the Andean potato weevil in Peru. In </w:t>
      </w:r>
      <w:r>
        <w:rPr>
          <w:rFonts w:ascii="Calibri" w:hAnsi="Calibri" w:eastAsia="Calibri" w:cs="Calibri"/>
          <w:i/>
          <w:iCs/>
          <w:color w:val="000000"/>
          <w:sz w:val="22"/>
          <w:szCs w:val="22"/>
        </w:rPr>
        <w:t xml:space="preserve">Case studies of the economic impact of CIP - related technology</w:t>
      </w:r>
      <w:r>
        <w:rPr>
          <w:rFonts w:ascii="Calibri" w:hAnsi="Calibri" w:eastAsia="Calibri" w:cs="Calibri"/>
          <w:color w:val="000000"/>
          <w:sz w:val="22"/>
          <w:szCs w:val="22"/>
        </w:rPr>
        <w:t xml:space="preserve"> (eds Walker TS &amp; Crissman CC). Lima, International Potato Center: pp. 95-110.</w:t>
      </w:r>
    </w:p>
    <w:p>
      <w:pPr>
        <w:widowControl w:val="on"/>
        <w:pBdr/>
        <w:spacing w:before="220" w:after="220" w:line="240" w:lineRule="auto"/>
        <w:ind w:left="0" w:right="0"/>
        <w:jc w:val="left"/>
      </w:pPr>
      <w:r>
        <w:rPr>
          <w:rFonts w:ascii="Calibri" w:hAnsi="Calibri" w:eastAsia="Calibri" w:cs="Calibri"/>
          <w:color w:val="000000"/>
          <w:sz w:val="22"/>
          <w:szCs w:val="22"/>
        </w:rPr>
        <w:t xml:space="preserve">Pierce WD (1914) New potato weevils from Andean South America.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(4), 347-352.</w:t>
      </w:r>
    </w:p>
    <w:p>
      <w:pPr>
        <w:widowControl w:val="on"/>
        <w:pBdr/>
        <w:spacing w:before="220" w:after="220" w:line="240" w:lineRule="auto"/>
        <w:ind w:left="0" w:right="0"/>
        <w:jc w:val="left"/>
      </w:pPr>
      <w:r>
        <w:rPr>
          <w:rFonts w:ascii="Calibri" w:hAnsi="Calibri" w:eastAsia="Calibri" w:cs="Calibri"/>
          <w:color w:val="000000"/>
          <w:sz w:val="22"/>
          <w:szCs w:val="22"/>
        </w:rPr>
        <w:t xml:space="preserve">Tisoc Dueñas IO (1989) Biological cycle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Cusco (Peru), under laboratory conditions. </w:t>
      </w:r>
      <w:r>
        <w:rPr>
          <w:rFonts w:ascii="Calibri" w:hAnsi="Calibri" w:eastAsia="Calibri" w:cs="Calibri"/>
          <w:i/>
          <w:iCs/>
          <w:color w:val="000000"/>
          <w:sz w:val="22"/>
          <w:szCs w:val="22"/>
        </w:rPr>
        <w:t xml:space="preserve">Revista Peruana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89-92.</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EPPO datasheets on pests recommended for regulation. Available online. </w:t>
      </w:r>
      <w:hyperlink r:id="rId7610669e75880ded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2044669e75880e044"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65922261" name="name1474669e75880e0a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88669e75880e0a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65212">
    <w:multiLevelType w:val="hybridMultilevel"/>
    <w:lvl w:ilvl="0" w:tplc="77639571">
      <w:start w:val="1"/>
      <w:numFmt w:val="decimal"/>
      <w:lvlText w:val="%1."/>
      <w:lvlJc w:val="left"/>
      <w:pPr>
        <w:ind w:left="720" w:hanging="360"/>
      </w:pPr>
    </w:lvl>
    <w:lvl w:ilvl="1" w:tplc="77639571" w:tentative="1">
      <w:start w:val="1"/>
      <w:numFmt w:val="lowerLetter"/>
      <w:lvlText w:val="%2."/>
      <w:lvlJc w:val="left"/>
      <w:pPr>
        <w:ind w:left="1440" w:hanging="360"/>
      </w:pPr>
    </w:lvl>
    <w:lvl w:ilvl="2" w:tplc="77639571" w:tentative="1">
      <w:start w:val="1"/>
      <w:numFmt w:val="lowerRoman"/>
      <w:lvlText w:val="%3."/>
      <w:lvlJc w:val="right"/>
      <w:pPr>
        <w:ind w:left="2160" w:hanging="180"/>
      </w:pPr>
    </w:lvl>
    <w:lvl w:ilvl="3" w:tplc="77639571" w:tentative="1">
      <w:start w:val="1"/>
      <w:numFmt w:val="decimal"/>
      <w:lvlText w:val="%4."/>
      <w:lvlJc w:val="left"/>
      <w:pPr>
        <w:ind w:left="2880" w:hanging="360"/>
      </w:pPr>
    </w:lvl>
    <w:lvl w:ilvl="4" w:tplc="77639571" w:tentative="1">
      <w:start w:val="1"/>
      <w:numFmt w:val="lowerLetter"/>
      <w:lvlText w:val="%5."/>
      <w:lvlJc w:val="left"/>
      <w:pPr>
        <w:ind w:left="3600" w:hanging="360"/>
      </w:pPr>
    </w:lvl>
    <w:lvl w:ilvl="5" w:tplc="77639571" w:tentative="1">
      <w:start w:val="1"/>
      <w:numFmt w:val="lowerRoman"/>
      <w:lvlText w:val="%6."/>
      <w:lvlJc w:val="right"/>
      <w:pPr>
        <w:ind w:left="4320" w:hanging="180"/>
      </w:pPr>
    </w:lvl>
    <w:lvl w:ilvl="6" w:tplc="77639571" w:tentative="1">
      <w:start w:val="1"/>
      <w:numFmt w:val="decimal"/>
      <w:lvlText w:val="%7."/>
      <w:lvlJc w:val="left"/>
      <w:pPr>
        <w:ind w:left="5040" w:hanging="360"/>
      </w:pPr>
    </w:lvl>
    <w:lvl w:ilvl="7" w:tplc="77639571" w:tentative="1">
      <w:start w:val="1"/>
      <w:numFmt w:val="lowerLetter"/>
      <w:lvlText w:val="%8."/>
      <w:lvlJc w:val="left"/>
      <w:pPr>
        <w:ind w:left="5760" w:hanging="360"/>
      </w:pPr>
    </w:lvl>
    <w:lvl w:ilvl="8" w:tplc="77639571" w:tentative="1">
      <w:start w:val="1"/>
      <w:numFmt w:val="lowerRoman"/>
      <w:lvlText w:val="%9."/>
      <w:lvlJc w:val="right"/>
      <w:pPr>
        <w:ind w:left="6480" w:hanging="180"/>
      </w:pPr>
    </w:lvl>
  </w:abstractNum>
  <w:abstractNum w:abstractNumId="30865211">
    <w:multiLevelType w:val="hybridMultilevel"/>
    <w:lvl w:ilvl="0" w:tplc="39649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65211">
    <w:abstractNumId w:val="30865211"/>
  </w:num>
  <w:num w:numId="30865212">
    <w:abstractNumId w:val="308652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6704425" Type="http://schemas.microsoft.com/office/2011/relationships/commentsExtended" Target="commentsExtended.xml"/><Relationship Id="rId270128401" Type="http://schemas.microsoft.com/office/2011/relationships/people" Target="people.xml"/><Relationship Id="rId9064669e75880b62b" Type="http://schemas.openxmlformats.org/officeDocument/2006/relationships/hyperlink" Target="https://gd.eppo.int/taxon/PREMLA/" TargetMode="External"/><Relationship Id="rId4750669e75880b670" Type="http://schemas.openxmlformats.org/officeDocument/2006/relationships/hyperlink" Target="https://gd.eppo.int/taxon/PREMLA/categorization" TargetMode="External"/><Relationship Id="rId7005669e75880bedb" Type="http://schemas.openxmlformats.org/officeDocument/2006/relationships/hyperlink" Target="https://gd.eppo.int/taxon/PREMLA/photos" TargetMode="External"/><Relationship Id="rId5587669e75880d87e" Type="http://schemas.openxmlformats.org/officeDocument/2006/relationships/hyperlink" Target="https://doi.org/10.2903/j.efsa.2020.6176" TargetMode="External"/><Relationship Id="rId6297669e75880d919" Type="http://schemas.openxmlformats.org/officeDocument/2006/relationships/hyperlink" Target="https://gd.eppo.int" TargetMode="External"/><Relationship Id="rId2929669e75880da3b" Type="http://schemas.openxmlformats.org/officeDocument/2006/relationships/hyperlink" Target="https://ediss.uni-goettingen.de/bitstream/handle/11858/00-1735-0000-000D-F23B-A/kuehne.pdf?sequence=1" TargetMode="External"/><Relationship Id="rId5660669e75880dbbf" Type="http://schemas.openxmlformats.org/officeDocument/2006/relationships/hyperlink" Target="https://doi.org/10.3390/d10030095" TargetMode="External"/><Relationship Id="rId7610669e75880ded1" Type="http://schemas.openxmlformats.org/officeDocument/2006/relationships/hyperlink" Target="https://gd.eppo.int" TargetMode="External"/><Relationship Id="rId2044669e75880e044" Type="http://schemas.openxmlformats.org/officeDocument/2006/relationships/hyperlink" Target="https://doi.org/10.1111/j.1365-2338.1984.tb01982.x" TargetMode="External"/><Relationship Id="rId2506669e75880bd6f" Type="http://schemas.openxmlformats.org/officeDocument/2006/relationships/image" Target="media/imgrId2506669e75880bd6f.jpg"/><Relationship Id="rId1387669e75880cd07" Type="http://schemas.openxmlformats.org/officeDocument/2006/relationships/image" Target="media/imgrId1387669e75880cd07.jpg"/><Relationship Id="rId8688669e75880e0a0" Type="http://schemas.openxmlformats.org/officeDocument/2006/relationships/image" Target="media/imgrId8688669e75880e0a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