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Premnotrypes vorax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Premnotrypes vorax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(Hustache)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Entiminae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potato weevil</w:t>
            </w:r>
            <w:hyperlink r:id="rId86916805189534e5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55366805189534eb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PREMVO</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originally described by Hustache (1933) as </w:t>
      </w:r>
      <w:r>
        <w:rPr>
          <w:rFonts w:ascii="Calibri" w:hAnsi="Calibri" w:eastAsia="Calibri" w:cs="Calibri"/>
          <w:i/>
          <w:iCs/>
          <w:color w:val="000000"/>
          <w:sz w:val="22"/>
          <w:szCs w:val="22"/>
        </w:rPr>
        <w:t xml:space="preserve">Solanophagus vorax</w:t>
      </w:r>
      <w:r>
        <w:rPr>
          <w:rFonts w:ascii="Calibri" w:hAnsi="Calibri" w:eastAsia="Calibri" w:cs="Calibri"/>
          <w:color w:val="000000"/>
          <w:sz w:val="22"/>
          <w:szCs w:val="22"/>
        </w:rPr>
        <w:t xml:space="preserve">, but Kuschel (1955) synonymized the genus </w:t>
      </w:r>
      <w:r>
        <w:rPr>
          <w:rFonts w:ascii="Calibri" w:hAnsi="Calibri" w:eastAsia="Calibri" w:cs="Calibri"/>
          <w:i/>
          <w:iCs/>
          <w:color w:val="000000"/>
          <w:sz w:val="22"/>
          <w:szCs w:val="22"/>
        </w:rPr>
        <w:t xml:space="preserve">Solanophagus</w:t>
      </w:r>
      <w:r>
        <w:rPr>
          <w:rFonts w:ascii="Calibri" w:hAnsi="Calibri" w:eastAsia="Calibri" w:cs="Calibri"/>
          <w:color w:val="000000"/>
          <w:sz w:val="22"/>
          <w:szCs w:val="22"/>
        </w:rPr>
        <w:t xml:space="preserve"> Hustache with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Pierce, and established the new combination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Kuschel (1956) revised the tribe Premnotrypini and provided a Key, later updated by Alcazar &amp; Cisneros (1999), which allow determination of the 12 currently valid species of the genus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plants are the primary host, with larval development in the tubers and adult feeding on the leaves. Adults have occasionally been seen associated with a number of other plant species, but evidence strongly indicates that the species is oligophagous and can only reproduce and develop successfully on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(Muñoz Cáceres, 1998; Alcázar &amp; Cisneros, 1999; Durán Auccatinco, 2001)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phureja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vorax</w:t>
      </w:r>
      <w:r>
        <w:rPr>
          <w:rFonts w:ascii="Calibri" w:hAnsi="Calibri" w:eastAsia="Calibri" w:cs="Calibri"/>
          <w:color w:val="000000"/>
          <w:sz w:val="22"/>
          <w:szCs w:val="22"/>
        </w:rPr>
        <w:t xml:space="preserve">, like other species of the genus attacking potatoes, occurs only in South America, at high altitudes of the Northern Andes (between 2 100 and 4 700 m a.s.l.). The EPPO designation of ‘Andean’ for the group is thus completely equivalent in practice to the EU designation ‘non-European’.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is distributed in Peru, being the dominant </w:t>
      </w:r>
      <w:r>
        <w:rPr>
          <w:rFonts w:ascii="Calibri" w:hAnsi="Calibri" w:eastAsia="Calibri" w:cs="Calibri"/>
          <w:i/>
          <w:iCs/>
          <w:color w:val="000000"/>
          <w:sz w:val="22"/>
          <w:szCs w:val="22"/>
        </w:rPr>
        <w:t xml:space="preserve">Premnotrypes </w:t>
      </w:r>
      <w:r>
        <w:rPr>
          <w:rFonts w:ascii="Calibri" w:hAnsi="Calibri" w:eastAsia="Calibri" w:cs="Calibri"/>
          <w:color w:val="000000"/>
          <w:sz w:val="22"/>
          <w:szCs w:val="22"/>
        </w:rPr>
        <w:t xml:space="preserve">species in Northern Peru, and in Ecuador, Colombia and Venezuela, where it is the only species of the genus (Angeles, 1966, 1971; Alcazar &amp; Cisneros, 1999; Kuehne, 2007; Yábar Landa, 2014).</w:t>
      </w:r>
    </w:p>
    <w:p>
      <w:r>
        <w:drawing>
          <wp:inline distT="0" distB="0" distL="0" distR="0">
            <wp:extent cx="6120000" cy="3067200"/>
            <wp:docPr id="13711539" name="name60976805189535fc2" descr="PREMV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MVO_distribution_map.jpg"/>
                    <pic:cNvPicPr/>
                  </pic:nvPicPr>
                  <pic:blipFill>
                    <a:blip r:embed="rId16496805189535fb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life-cycle of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appears to be basically similar to other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though there are differences in detail (Calvache Guerrero, 1986; Muñoz Cáceres, 1998; Alcázar &amp; Cisneros, 1999). The dry winter season is passed in the soil as a prepupa, pupa and then over-wintering adult within the pupal cell. When the spring rains start, the adults of the new generation emerge from the soil and feed on the leaves of the potato plants if available, or migrate to other potato fields. Adults remain hidden during the day, sheltered beneath debris or in soil cracks near the base of the potato plants. In the evening they climb to the foliage to feed. Several days after mating, females lay eggs in straw or other plant debris near the potato plant. The newly hatched larvae move into the soil to the developing tubers and bore into them. The larva continues feeding inside the tuber until ready to pupate.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passes through five larval instars. When fully grown, the last instar larva leaves the tuber and prepares an earthen cell for pupation in the surrounding soil. There is usually one generation per year in the areas with one potato-growing season, for example in Northern Peru and in Bolivia, but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can have two or three generations per year in irrigated and more humid areas with continuous potato cropping, in the eastern Andean slopes of Peru and in Ecuador, Colombia and Venezuela (Alcázar &amp; Cisneros, 1999; Kuehne,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by adults produces semi-circular notches along the edges of leaves. The larvae tunnel within the tubers, causing little externally visible damage. Pupae occur in the soil inside earthen cells.</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These symptoms are similar among all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Differences with other Andean potato weevils worth mentioning are that adults of </w:t>
      </w:r>
      <w:r>
        <w:rPr>
          <w:rFonts w:ascii="Calibri" w:hAnsi="Calibri" w:eastAsia="Calibri" w:cs="Calibri"/>
          <w:i/>
          <w:iCs/>
          <w:color w:val="000000"/>
          <w:sz w:val="22"/>
          <w:szCs w:val="22"/>
        </w:rPr>
        <w:t xml:space="preserve">Phyrdenus</w:t>
      </w:r>
      <w:r>
        <w:rPr>
          <w:rFonts w:ascii="Calibri" w:hAnsi="Calibri" w:eastAsia="Calibri" w:cs="Calibri"/>
          <w:color w:val="000000"/>
          <w:sz w:val="22"/>
          <w:szCs w:val="22"/>
        </w:rPr>
        <w:t xml:space="preserve"> sp. produce circular holes in the leaves and the pupae of </w:t>
      </w:r>
      <w:r>
        <w:rPr>
          <w:rFonts w:ascii="Calibri" w:hAnsi="Calibri" w:eastAsia="Calibri" w:cs="Calibri"/>
          <w:i/>
          <w:iCs/>
          <w:color w:val="000000"/>
          <w:sz w:val="22"/>
          <w:szCs w:val="22"/>
        </w:rPr>
        <w:t xml:space="preserve">Rhigopsidius</w:t>
      </w:r>
      <w:r>
        <w:rPr>
          <w:rFonts w:ascii="Calibri" w:hAnsi="Calibri" w:eastAsia="Calibri" w:cs="Calibri"/>
          <w:color w:val="000000"/>
          <w:sz w:val="22"/>
          <w:szCs w:val="22"/>
        </w:rPr>
        <w:t xml:space="preserve"> sp. occur inside the tuber (Alcázar &amp; Cisneros, 1999). In Colombia, in addition to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there is a Naupactini species that is an important potato pest: </w:t>
      </w:r>
      <w:r>
        <w:rPr>
          <w:rFonts w:ascii="Calibri" w:hAnsi="Calibri" w:eastAsia="Calibri" w:cs="Calibri"/>
          <w:i/>
          <w:iCs/>
          <w:color w:val="000000"/>
          <w:sz w:val="22"/>
          <w:szCs w:val="22"/>
        </w:rPr>
        <w:t xml:space="preserve">Leschenius vulcanorum</w:t>
      </w:r>
      <w:r>
        <w:rPr>
          <w:rFonts w:ascii="Calibri" w:hAnsi="Calibri" w:eastAsia="Calibri" w:cs="Calibri"/>
          <w:color w:val="000000"/>
          <w:sz w:val="22"/>
          <w:szCs w:val="22"/>
        </w:rPr>
        <w:t xml:space="preserve"> (Kirsch), known as ‘potato shooter’ or ‘tiroteador de la papa’ (in Spanish), but its larvae live feely in the soil, and unlike those of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they bite and bore the potato tubers and roots externally (del Río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vorax</w:t>
      </w:r>
      <w:r>
        <w:rPr>
          <w:rFonts w:ascii="Calibri" w:hAnsi="Calibri" w:eastAsia="Calibri" w:cs="Calibri"/>
          <w:color w:val="000000"/>
          <w:sz w:val="22"/>
          <w:szCs w:val="22"/>
        </w:rPr>
        <w:t xml:space="preserve"> are stout, apterous, weevils about 5-8 mm long. Their colour varies from greyish-brown to dark brown and they have tubercles on pronotum and elytra, which make them difficult to distinguish from the background soil. The eyes are well developed and the rostrum short and broad (the length only about twice the width). A postocular lobe on the anterior margin of prothorax covers part of the eye. They show sexual dimorphism: females larger than males; last ventrite with apical margin acute in females and blunt in males.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vorax</w:t>
      </w:r>
      <w:r>
        <w:rPr>
          <w:rFonts w:ascii="Calibri" w:hAnsi="Calibri" w:eastAsia="Calibri" w:cs="Calibri"/>
          <w:color w:val="000000"/>
          <w:sz w:val="22"/>
          <w:szCs w:val="22"/>
        </w:rPr>
        <w:t xml:space="preserve"> can be distinguished from other species of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by the following combination of characters: epistome (at apical dorsal part of rostrum) elevated; without superciliary arches or swellings above each eye; rostrum with strong dorsal curvature; pronotum with pointed lateral swelling; elytra flat up to the fifth interstria and then almost vertical to the side (Kuschel, 1956; Alcázar &amp; Cisneros, 1999; Yábar Landa,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legless larva and exarate pupa are typical of the Curculionidae. The larva is comma-shaped, creamy-white except the ochreous head, with antennal sensorium cushion-like as it is characteristic of Entiminae (Marvaldi, 2003). Larval characters diagnostic of the genus are given by Emden (1952: paragraphs 6, 54, 55, and 59 of the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can be detected by visual inspection. Adults can be seen on the green parts of the plants. Being flightless they only move by walking, and in the field, they can be caught with traps of the pitfall type. They remain hidden at the base of plants during daylight hours and can be detected at night by inspection of the plant foliage; they play dead when disturbed, so they can be collected by shaking the plants over a basin (Yabar Landa, 1988, 1994). Eggs are difficult to detect, protected in straw or plant debris at the base of the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can be detected by revising the potato tubers. Because larvae bore inside the tubers, their presence by external inspection requires careful observation. In light-skinned tubers, the damage is indicated by the presence of irregular blackish spots, and in dark-skinned tubers, there may be small pustules indicating the place where the larvae have entered (Yábar Landa, 1988).</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and over-wintering adults occur in the soil. Mature larvae leave the tubers to pupate in the soil, so detection of pupae in the field is done by examining the soil surrounding the plants during and after harvest. Mature larvae, pupae and adults can also be detected below tubers piled in storage and heaping sites (Alcázar &amp; Cisneros,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tubers have been an important means of spread from field to field, and represent the main potential pathway for transport of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in international trade.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is thought to have been introduced into Venezuela with illegally imported potatoes. Most of the larvae reach maturity and leave the tuber before harvest, but a small proportion of them do not abandon it, so adults can also emerge without rain, in storage conditions, contributing to new infestations or to the spread (e.g., via seed potatoes) of the species (Alcázar &amp; Cisneros, 1999; Kuehne, 2007; Yabar Landa et al.,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includes the most important weevil species on potatoes in the Andes, which, together with </w:t>
      </w:r>
      <w:r>
        <w:rPr>
          <w:rFonts w:ascii="Calibri" w:hAnsi="Calibri" w:eastAsia="Calibri" w:cs="Calibri"/>
          <w:i/>
          <w:iCs/>
          <w:color w:val="000000"/>
          <w:sz w:val="22"/>
          <w:szCs w:val="22"/>
        </w:rPr>
        <w:t xml:space="preserve">Rhigopsidius tucumanus</w:t>
      </w:r>
      <w:r>
        <w:rPr>
          <w:rFonts w:ascii="Calibri" w:hAnsi="Calibri" w:eastAsia="Calibri" w:cs="Calibri"/>
          <w:color w:val="000000"/>
          <w:sz w:val="22"/>
          <w:szCs w:val="22"/>
        </w:rPr>
        <w:t xml:space="preserve"> Heller and </w:t>
      </w:r>
      <w:r>
        <w:rPr>
          <w:rFonts w:ascii="Calibri" w:hAnsi="Calibri" w:eastAsia="Calibri" w:cs="Calibri"/>
          <w:i/>
          <w:iCs/>
          <w:color w:val="000000"/>
          <w:sz w:val="22"/>
          <w:szCs w:val="22"/>
        </w:rPr>
        <w:t xml:space="preserve">Phyrdenus </w:t>
      </w:r>
      <w:r>
        <w:rPr>
          <w:rFonts w:ascii="Calibri" w:hAnsi="Calibri" w:eastAsia="Calibri" w:cs="Calibri"/>
          <w:i/>
          <w:iCs/>
          <w:color w:val="000000"/>
          <w:sz w:val="22"/>
          <w:szCs w:val="22"/>
        </w:rPr>
        <w:t xml:space="preserve">muriceus</w:t>
      </w:r>
      <w:r>
        <w:rPr>
          <w:rFonts w:ascii="Calibri" w:hAnsi="Calibri" w:eastAsia="Calibri" w:cs="Calibri"/>
          <w:color w:val="000000"/>
          <w:sz w:val="22"/>
          <w:szCs w:val="22"/>
        </w:rPr>
        <w:t xml:space="preserve">Germar, are collectivelly known as the Andean Potato Weevil (APW) complex (Alcázar &amp; Cisneros, 1999; EFSA PLH Panel, 2020). In many areas,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are the most important pests of potatoes, sometimes causing complete destruction of unsprayed crops. The adults feed on foliage and can cause serious damage on young potato plants. Major damage is caused by the larvae feeding on the tubers, with the consequent loss of their commercial value, and crops with up to 80% of potato tubers damaged by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have been reported from Venezuela. In Ecuador, yield reductions have been estimated for up to 50 %, with management costs representing about 20 % of the total production costs (Gallegos et al., 1997).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has been mainly carried out by means of chemical insecticides. In addition to direct monitoring of the crop and chemical control, many other strategies are considered to implement integrated pest management (IPM) against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and other APW, including: biological control, with entomopathogenic fungi or nematodes, with natural enemies such as predator beetles; use of resistant plants; agricultural control strategies, such as crop rotation, early harvest, shelter traps/bait crop, border application of insecticides and creation of ditches around field. The various control methods and studies testing their efficacy are reviewed by Kuehne (2007).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The potential of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and other potato weevils to cause damage in Europe is uncertain, owing to the unusual character of the high montane climate of the tropical Andes, with its extreme diurnal fluctuations in temperature and high solar radiation, with dry, cold winter and rainy, moderately warm spring-summer (Alcázar &amp; Cisneros, 1999). It is likely that pests from such an environment will be preadapted to temperate climates of Europe.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(EPPO/CABI, 1996) is an example of a montane species which has shown great adaptability. The Andean potato weevils are likely to establish, spread and cause economic impact in some of the potato-growing areas in Europe, if introduced (EFSA PLH Panel,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vorax</w:t>
      </w:r>
      <w:r>
        <w:rPr>
          <w:rFonts w:ascii="Calibri" w:hAnsi="Calibri" w:eastAsia="Calibri" w:cs="Calibri"/>
          <w:color w:val="000000"/>
          <w:sz w:val="22"/>
          <w:szCs w:val="22"/>
        </w:rPr>
        <w:t xml:space="preserve"> belongs to the group of South American pests of potato which justifies post-entry quarantine procedures in the EPPO region, together with equivalent checks before export. Only material for scientific purposes should normally be imported from South America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Alcázar J &amp; Cisneros F (1999) Taxonomy and bionomics of the Andean potato weevil complex: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and related genera. pp. 141–151. In: The International Potato Centre. 1999. Impact on a Changing World, Program Report 1997–1998, Lima, Peru, 458 pp.</w:t>
      </w:r>
    </w:p>
    <w:p>
      <w:pPr>
        <w:widowControl w:val="on"/>
        <w:pBdr/>
        <w:spacing w:before="220" w:after="220" w:line="240" w:lineRule="auto"/>
        <w:ind w:left="0" w:right="0"/>
        <w:jc w:val="left"/>
      </w:pPr>
      <w:r>
        <w:rPr>
          <w:rFonts w:ascii="Calibri" w:hAnsi="Calibri" w:eastAsia="Calibri" w:cs="Calibri"/>
          <w:color w:val="000000"/>
          <w:sz w:val="22"/>
          <w:szCs w:val="22"/>
        </w:rPr>
        <w:t xml:space="preserve">Angeles N de J (1966) [Presence of the potato weevil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in the Andean region of Venezuela]. </w:t>
      </w:r>
      <w:r>
        <w:rPr>
          <w:rFonts w:ascii="Calibri" w:hAnsi="Calibri" w:eastAsia="Calibri" w:cs="Calibri"/>
          <w:i/>
          <w:iCs/>
          <w:color w:val="000000"/>
          <w:sz w:val="22"/>
          <w:szCs w:val="22"/>
        </w:rPr>
        <w:t xml:space="preserve">Agronomia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295-29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Angeles N de J, Rodriguez DR (1971) [New area of distribution of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in the Andean region of Venezuela]. </w:t>
      </w:r>
      <w:r>
        <w:rPr>
          <w:rFonts w:ascii="Calibri" w:hAnsi="Calibri" w:eastAsia="Calibri" w:cs="Calibri"/>
          <w:i/>
          <w:iCs/>
          <w:color w:val="000000"/>
          <w:sz w:val="22"/>
          <w:szCs w:val="22"/>
        </w:rPr>
        <w:t xml:space="preserve">Agronomia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345-346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Calvache Guerrero H (1986) [Biological and ecological aspects of the potato white worm,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vorax</w:t>
      </w:r>
      <w:r>
        <w:rPr>
          <w:rFonts w:ascii="Calibri" w:hAnsi="Calibri" w:eastAsia="Calibri" w:cs="Calibri"/>
          <w:color w:val="000000"/>
          <w:sz w:val="22"/>
          <w:szCs w:val="22"/>
        </w:rPr>
        <w:t xml:space="preserve"> (Hustache)]. In: Memorias del curso sobre control integrado de plagas de papa. L. Valencia (Ed.). Bogotá, International Potato Center: pp. 18-24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Del Río, MG, Marvaldi AE &amp; Lanteri AA (2012) Systematics and cladistics of a new Naupactini genus (Coleoptera: Curculionidae: Entiminae) from the Andes of Colombia and Ecuador. </w:t>
      </w:r>
      <w:r>
        <w:rPr>
          <w:rFonts w:ascii="Calibri" w:hAnsi="Calibri" w:eastAsia="Calibri" w:cs="Calibri"/>
          <w:i/>
          <w:iCs/>
          <w:color w:val="000000"/>
          <w:sz w:val="22"/>
          <w:szCs w:val="22"/>
        </w:rPr>
        <w:t xml:space="preserve">Zoological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54-71.</w:t>
      </w:r>
    </w:p>
    <w:p>
      <w:pPr>
        <w:widowControl w:val="on"/>
        <w:pBdr/>
        <w:spacing w:before="220" w:after="220" w:line="240" w:lineRule="auto"/>
        <w:ind w:left="0" w:right="0"/>
        <w:jc w:val="left"/>
      </w:pPr>
      <w:r>
        <w:rPr>
          <w:rFonts w:ascii="Calibri" w:hAnsi="Calibri" w:eastAsia="Calibri" w:cs="Calibri"/>
          <w:color w:val="000000"/>
          <w:sz w:val="22"/>
          <w:szCs w:val="22"/>
        </w:rPr>
        <w:t xml:space="preserve">Durán Auccatinco J (2001) [Integrated Pest Management and its impact on Andean weevil (pest) and diseases in potato crop]. Thesis of the Universidad de San Antonio Abad del Cusco, Cusco (Peru). 86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Czwienczek E, Streissl F &amp; MacLeod A (2020) Scientific Opinion on the pest categorisation of the Andean Potato Weevil (APW) complex (Coleoptera: Curculionidae). </w:t>
      </w:r>
      <w:r>
        <w:rPr>
          <w:rFonts w:ascii="Calibri" w:hAnsi="Calibri" w:eastAsia="Calibri" w:cs="Calibri"/>
          <w:i/>
          <w:iCs/>
          <w:color w:val="000000"/>
          <w:sz w:val="22"/>
          <w:szCs w:val="22"/>
        </w:rPr>
        <w:t xml:space="preserve">EFSA Journal </w:t>
      </w:r>
      <w:r>
        <w:rPr>
          <w:rFonts w:ascii="Calibri" w:hAnsi="Calibri" w:eastAsia="Calibri" w:cs="Calibri"/>
          <w:color w:val="000000"/>
          <w:sz w:val="22"/>
          <w:szCs w:val="22"/>
        </w:rPr>
        <w:t xml:space="preserve">2020;18(7):6176, 38 pp. </w:t>
      </w:r>
      <w:hyperlink r:id="rId71096805189536c1e" w:history="1">
        <w:r>
          <w:rPr>
            <w:rFonts w:ascii="Calibri" w:hAnsi="Calibri" w:eastAsia="Calibri" w:cs="Calibri"/>
            <w:color w:val="0000CC"/>
            <w:sz w:val="22"/>
            <w:szCs w:val="22"/>
            <w:u w:val="single"/>
          </w:rPr>
          <w:t xml:space="preserve">https://doi.org/10.2903/j.efsa.2020.6176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Emden FI van (1952) On the taxonomy of Rhynchophora larvae: Adelognatha and Alophinae (Insecta: Coleoptera). </w:t>
      </w:r>
      <w:r>
        <w:rPr>
          <w:rFonts w:ascii="Calibri" w:hAnsi="Calibri" w:eastAsia="Calibri" w:cs="Calibri"/>
          <w:i/>
          <w:iCs/>
          <w:color w:val="000000"/>
          <w:sz w:val="22"/>
          <w:szCs w:val="22"/>
        </w:rPr>
        <w:t xml:space="preserve">Proceedings of the Zoological Society of London</w:t>
      </w:r>
      <w:r>
        <w:rPr>
          <w:rFonts w:ascii="Calibri" w:hAnsi="Calibri" w:eastAsia="Calibri" w:cs="Calibri"/>
          <w:color w:val="000000"/>
          <w:sz w:val="22"/>
          <w:szCs w:val="22"/>
        </w:rPr>
        <w:t xml:space="preserve">, Volume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pp. 651-795.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(GD). Available online: </w:t>
      </w:r>
      <w:hyperlink r:id="rId30766805189536cb6"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Gallegos GP, Avalos PG &amp; Castillo C (1997) [White worm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in Ecuador: behaviour and Control]. INIAP, Quito, Ecuador (in Spanish). Available online: </w:t>
      </w:r>
      <w:hyperlink r:id="rId35486805189536d73" w:history="1">
        <w:r>
          <w:rPr>
            <w:rFonts w:ascii="Calibri" w:hAnsi="Calibri" w:eastAsia="Calibri" w:cs="Calibri"/>
            <w:color w:val="0000CC"/>
            <w:sz w:val="22"/>
            <w:szCs w:val="22"/>
            <w:u w:val="single"/>
          </w:rPr>
          <w:t xml:space="preserve">https://books.google.es/books?id=6LEzAQAAMAAJ&amp;printsec=frontcover&amp;hl=ca&amp;source=gbs_ge_summary_r&amp;cad=0#v=onepage&amp;q&amp;f=false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Hustache M (1933) Deux nouveaux curculionides déprédateurs. </w:t>
      </w:r>
      <w:r>
        <w:rPr>
          <w:rFonts w:ascii="Calibri" w:hAnsi="Calibri" w:eastAsia="Calibri" w:cs="Calibri"/>
          <w:i/>
          <w:iCs/>
          <w:color w:val="000000"/>
          <w:sz w:val="22"/>
          <w:szCs w:val="22"/>
        </w:rPr>
        <w:t xml:space="preserve">Bulletin Du Muséum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376–380.</w:t>
      </w:r>
    </w:p>
    <w:p>
      <w:pPr>
        <w:widowControl w:val="on"/>
        <w:pBdr/>
        <w:spacing w:before="220" w:after="220" w:line="240" w:lineRule="auto"/>
        <w:ind w:left="0" w:right="0"/>
        <w:jc w:val="left"/>
      </w:pPr>
      <w:r>
        <w:rPr>
          <w:rFonts w:ascii="Calibri" w:hAnsi="Calibri" w:eastAsia="Calibri" w:cs="Calibri"/>
          <w:color w:val="000000"/>
          <w:sz w:val="22"/>
          <w:szCs w:val="22"/>
        </w:rPr>
        <w:t xml:space="preserve">Kuehne M (2007) The Andean potato weevil </w:t>
      </w:r>
      <w:r>
        <w:rPr>
          <w:rFonts w:ascii="Calibri" w:hAnsi="Calibri" w:eastAsia="Calibri" w:cs="Calibri"/>
          <w:i/>
          <w:iCs/>
          <w:color w:val="000000"/>
          <w:sz w:val="22"/>
          <w:szCs w:val="22"/>
        </w:rPr>
        <w:t xml:space="preserve">Premnotrypes suturicallus</w:t>
      </w:r>
      <w:r>
        <w:rPr>
          <w:rFonts w:ascii="Calibri" w:hAnsi="Calibri" w:eastAsia="Calibri" w:cs="Calibri"/>
          <w:color w:val="000000"/>
          <w:sz w:val="22"/>
          <w:szCs w:val="22"/>
        </w:rPr>
        <w:t xml:space="preserve">. Ecology and interactions with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PhD thesis. Fakultät für Agrarwissenschaften der Georg‐August‐Universität Göttingen. Available online: </w:t>
      </w:r>
      <w:hyperlink r:id="rId85976805189536e41" w:history="1">
        <w:r>
          <w:rPr>
            <w:rFonts w:ascii="Calibri" w:hAnsi="Calibri" w:eastAsia="Calibri" w:cs="Calibri"/>
            <w:color w:val="0000CC"/>
            <w:sz w:val="22"/>
            <w:szCs w:val="22"/>
            <w:u w:val="single"/>
          </w:rPr>
          <w:t xml:space="preserve">https://ediss.uni-goettingen.de/bitstream/handle/11858/00-1735-0000-000D-F23B-A/kuehne.pdf?sequence=1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(1955) New synonyms and anotations on Curculionoidea (Coleoptera</w:t>
      </w:r>
      <w:r>
        <w:rPr>
          <w:rFonts w:ascii="Calibri" w:hAnsi="Calibri" w:eastAsia="Calibri" w:cs="Calibri"/>
          <w:i/>
          <w:iCs/>
          <w:color w:val="000000"/>
          <w:sz w:val="22"/>
          <w:szCs w:val="22"/>
        </w:rPr>
        <w:t xml:space="preserve">)]. Revista Chilena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161-312.</w:t>
      </w:r>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(1956) [Revision of the Premnotrypini and additions to the Bagoini]. </w:t>
      </w:r>
      <w:r>
        <w:rPr>
          <w:rFonts w:ascii="Calibri" w:hAnsi="Calibri" w:eastAsia="Calibri" w:cs="Calibri"/>
          <w:i/>
          <w:iCs/>
          <w:color w:val="000000"/>
          <w:sz w:val="22"/>
          <w:szCs w:val="22"/>
        </w:rPr>
        <w:t xml:space="preserve">Boletin, Museo Nacional de Historia Natural, Chile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187-235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Marvaldi AE (2003) Key to identify larvae of the subfamilies of South American weevils (Coleoptera, Curculionoidea). </w:t>
      </w:r>
      <w:r>
        <w:rPr>
          <w:rFonts w:ascii="Calibri" w:hAnsi="Calibri" w:eastAsia="Calibri" w:cs="Calibri"/>
          <w:i/>
          <w:iCs/>
          <w:color w:val="000000"/>
          <w:sz w:val="22"/>
          <w:szCs w:val="22"/>
        </w:rPr>
        <w:t xml:space="preserve">Revista Chilena de Historia Natural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(4), 603-612.</w:t>
      </w:r>
    </w:p>
    <w:p>
      <w:pPr>
        <w:widowControl w:val="on"/>
        <w:pBdr/>
        <w:spacing w:before="220" w:after="220" w:line="240" w:lineRule="auto"/>
        <w:ind w:left="0" w:right="0"/>
        <w:jc w:val="left"/>
      </w:pPr>
      <w:r>
        <w:rPr>
          <w:rFonts w:ascii="Calibri" w:hAnsi="Calibri" w:eastAsia="Calibri" w:cs="Calibri"/>
          <w:color w:val="000000"/>
          <w:sz w:val="22"/>
          <w:szCs w:val="22"/>
        </w:rPr>
        <w:t xml:space="preserve">Muñoz Cáceres M (1998) [Biology of the "Andean weevil"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Hustache (Coleoptera: Curculionidae)]. Cajamarca, Thesis of the Universidad Nacional de Cajamarca: 104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(1988) Cultural practices integration for the control of the Andean potato weevil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120-131.</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(1994) [Ecological management of the Andes weevil]. Lima, RAAA. 119pp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Yabar Landa E (2014) [Systematic revision and phylogeny of the tribe Premnotrypini Kuschel (Coleoptera: Curculionidae: Entiminae)]. Doctoral Thesis, PROBIOL, Universidad Nacional de Cuyo (Argentina). 248 pp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García H, Saavedra J, de los Rios H (2011) [Curculionids (Coleoptera: Curculionidae) associated with potato tuber under traditional storage conditions in Cuzco, Peru]. </w:t>
      </w:r>
      <w:r>
        <w:rPr>
          <w:rFonts w:ascii="Calibri" w:hAnsi="Calibri" w:eastAsia="Calibri" w:cs="Calibri"/>
          <w:i/>
          <w:iCs/>
          <w:color w:val="000000"/>
          <w:sz w:val="22"/>
          <w:szCs w:val="22"/>
        </w:rPr>
        <w:t xml:space="preserve">Boletín del Museo de Entomología de la Universidad del Valle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 42-47 (in Spanish).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Adriana E. Marvaldi (CONICET, División Entomología, Facultad de Ciencias Naturales y Museo, Universidad Nacional de La Plata, Argentina).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EPPO datasheets on pests recommended for regulation. Available online. </w:t>
      </w:r>
      <w:hyperlink r:id="rId3341680518953716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143: </w:t>
      </w:r>
      <w:r>
        <w:rPr>
          <w:rFonts w:ascii="Calibri" w:hAnsi="Calibri" w:eastAsia="Calibri" w:cs="Calibri"/>
          <w:i/>
          <w:iCs/>
          <w:color w:val="000000"/>
          <w:sz w:val="22"/>
          <w:szCs w:val="22"/>
        </w:rPr>
        <w:t xml:space="preserve">Premnotrypes </w:t>
      </w:r>
      <w:r>
        <w:rPr>
          <w:rFonts w:ascii="Calibri" w:hAnsi="Calibri" w:eastAsia="Calibri" w:cs="Calibri"/>
          <w:color w:val="000000"/>
          <w:sz w:val="22"/>
          <w:szCs w:val="22"/>
        </w:rPr>
        <w:t xml:space="preserve">spp. (Andean species). EPPO Bulletin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55-60. </w:t>
      </w:r>
      <w:hyperlink r:id="rId984768051895372d9" w:history="1">
        <w:r>
          <w:rPr>
            <w:rFonts w:ascii="Calibri" w:hAnsi="Calibri" w:eastAsia="Calibri" w:cs="Calibri"/>
            <w:color w:val="0000CC"/>
            <w:sz w:val="22"/>
            <w:szCs w:val="22"/>
            <w:u w:val="single"/>
          </w:rPr>
          <w:t xml:space="preserve">https://doi.org/10.1111/j.1365-2338.1984.tb01982.x</w:t>
        </w:r>
      </w:hyperlink>
    </w:p>
    <w:p>
      <w:r>
        <w:drawing>
          <wp:inline distT="0" distB="0" distL="0" distR="0">
            <wp:extent cx="1800000" cy="604800"/>
            <wp:docPr id="18376880" name="name9223680518953735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534680518953735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437996">
    <w:multiLevelType w:val="hybridMultilevel"/>
    <w:lvl w:ilvl="0" w:tplc="99307719">
      <w:start w:val="1"/>
      <w:numFmt w:val="decimal"/>
      <w:lvlText w:val="%1."/>
      <w:lvlJc w:val="left"/>
      <w:pPr>
        <w:ind w:left="720" w:hanging="360"/>
      </w:pPr>
    </w:lvl>
    <w:lvl w:ilvl="1" w:tplc="99307719" w:tentative="1">
      <w:start w:val="1"/>
      <w:numFmt w:val="lowerLetter"/>
      <w:lvlText w:val="%2."/>
      <w:lvlJc w:val="left"/>
      <w:pPr>
        <w:ind w:left="1440" w:hanging="360"/>
      </w:pPr>
    </w:lvl>
    <w:lvl w:ilvl="2" w:tplc="99307719" w:tentative="1">
      <w:start w:val="1"/>
      <w:numFmt w:val="lowerRoman"/>
      <w:lvlText w:val="%3."/>
      <w:lvlJc w:val="right"/>
      <w:pPr>
        <w:ind w:left="2160" w:hanging="180"/>
      </w:pPr>
    </w:lvl>
    <w:lvl w:ilvl="3" w:tplc="99307719" w:tentative="1">
      <w:start w:val="1"/>
      <w:numFmt w:val="decimal"/>
      <w:lvlText w:val="%4."/>
      <w:lvlJc w:val="left"/>
      <w:pPr>
        <w:ind w:left="2880" w:hanging="360"/>
      </w:pPr>
    </w:lvl>
    <w:lvl w:ilvl="4" w:tplc="99307719" w:tentative="1">
      <w:start w:val="1"/>
      <w:numFmt w:val="lowerLetter"/>
      <w:lvlText w:val="%5."/>
      <w:lvlJc w:val="left"/>
      <w:pPr>
        <w:ind w:left="3600" w:hanging="360"/>
      </w:pPr>
    </w:lvl>
    <w:lvl w:ilvl="5" w:tplc="99307719" w:tentative="1">
      <w:start w:val="1"/>
      <w:numFmt w:val="lowerRoman"/>
      <w:lvlText w:val="%6."/>
      <w:lvlJc w:val="right"/>
      <w:pPr>
        <w:ind w:left="4320" w:hanging="180"/>
      </w:pPr>
    </w:lvl>
    <w:lvl w:ilvl="6" w:tplc="99307719" w:tentative="1">
      <w:start w:val="1"/>
      <w:numFmt w:val="decimal"/>
      <w:lvlText w:val="%7."/>
      <w:lvlJc w:val="left"/>
      <w:pPr>
        <w:ind w:left="5040" w:hanging="360"/>
      </w:pPr>
    </w:lvl>
    <w:lvl w:ilvl="7" w:tplc="99307719" w:tentative="1">
      <w:start w:val="1"/>
      <w:numFmt w:val="lowerLetter"/>
      <w:lvlText w:val="%8."/>
      <w:lvlJc w:val="left"/>
      <w:pPr>
        <w:ind w:left="5760" w:hanging="360"/>
      </w:pPr>
    </w:lvl>
    <w:lvl w:ilvl="8" w:tplc="99307719" w:tentative="1">
      <w:start w:val="1"/>
      <w:numFmt w:val="lowerRoman"/>
      <w:lvlText w:val="%9."/>
      <w:lvlJc w:val="right"/>
      <w:pPr>
        <w:ind w:left="6480" w:hanging="180"/>
      </w:pPr>
    </w:lvl>
  </w:abstractNum>
  <w:abstractNum w:abstractNumId="88437995">
    <w:multiLevelType w:val="hybridMultilevel"/>
    <w:lvl w:ilvl="0" w:tplc="485552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437995">
    <w:abstractNumId w:val="88437995"/>
  </w:num>
  <w:num w:numId="88437996">
    <w:abstractNumId w:val="884379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4950621" Type="http://schemas.microsoft.com/office/2011/relationships/commentsExtended" Target="commentsExtended.xml"/><Relationship Id="rId741684960" Type="http://schemas.microsoft.com/office/2011/relationships/people" Target="people.xml"/><Relationship Id="rId86916805189534e5e" Type="http://schemas.openxmlformats.org/officeDocument/2006/relationships/hyperlink" Target="https://gd.eppo.int/taxon/PREMVO/" TargetMode="External"/><Relationship Id="rId55366805189534eb0" Type="http://schemas.openxmlformats.org/officeDocument/2006/relationships/hyperlink" Target="https://gd.eppo.int/taxon/PREMVO/categorization" TargetMode="External"/><Relationship Id="rId71096805189536c1e" Type="http://schemas.openxmlformats.org/officeDocument/2006/relationships/hyperlink" Target="https://doi.org/10.2903/j.efsa.2020.6176" TargetMode="External"/><Relationship Id="rId30766805189536cb6" Type="http://schemas.openxmlformats.org/officeDocument/2006/relationships/hyperlink" Target="https://gd.eppo.int" TargetMode="External"/><Relationship Id="rId35486805189536d73" Type="http://schemas.openxmlformats.org/officeDocument/2006/relationships/hyperlink" Target="https://books.google.es/books?id=6LEzAQAAMAAJ&amp;printsec=frontcover&amp;hl=ca&amp;source=gbs_ge_summary_r&amp;cad=0#v=onepage&amp;q&amp;f=false" TargetMode="External"/><Relationship Id="rId85976805189536e41" Type="http://schemas.openxmlformats.org/officeDocument/2006/relationships/hyperlink" Target="https://ediss.uni-goettingen.de/bitstream/handle/11858/00-1735-0000-000D-F23B-A/kuehne.pdf?sequence=1" TargetMode="External"/><Relationship Id="rId3341680518953716a" Type="http://schemas.openxmlformats.org/officeDocument/2006/relationships/hyperlink" Target="https://gd.eppo.int" TargetMode="External"/><Relationship Id="rId984768051895372d9" Type="http://schemas.openxmlformats.org/officeDocument/2006/relationships/hyperlink" Target="https://doi.org/10.1111/j.1365-2338.1984.tb01982.x" TargetMode="External"/><Relationship Id="rId16496805189535fbe" Type="http://schemas.openxmlformats.org/officeDocument/2006/relationships/image" Target="media/imgrId16496805189535fbe.jpg"/><Relationship Id="rId45346805189537355" Type="http://schemas.openxmlformats.org/officeDocument/2006/relationships/image" Target="media/imgrId4534680518953735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