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minutissimus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minutissimus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Crypturgus minutissimus</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943367b854fbc8c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9267b854fbc8ca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such as</w:t>
      </w:r>
      <w:r>
        <w:rPr>
          <w:rFonts w:ascii="Calibri" w:hAnsi="Calibri" w:eastAsia="Calibri" w:cs="Calibri"/>
          <w:i/>
          <w:iCs/>
          <w:color w:val="000000"/>
          <w:sz w:val="22"/>
          <w:szCs w:val="22"/>
        </w:rPr>
        <w:t xml:space="preserve"> Q. alba, Q. bicolor, </w:t>
      </w:r>
      <w:r>
        <w:rPr>
          <w:rFonts w:ascii="Calibri" w:hAnsi="Calibri" w:eastAsia="Calibri" w:cs="Calibri"/>
          <w:i/>
          <w:iCs/>
          <w:color w:val="000000"/>
          <w:sz w:val="22"/>
          <w:szCs w:val="22"/>
        </w:rPr>
        <w:t xml:space="preserve">Q. borealis, </w:t>
      </w:r>
      <w:r>
        <w:rPr>
          <w:rFonts w:ascii="Calibri" w:hAnsi="Calibri" w:eastAsia="Calibri" w:cs="Calibri"/>
          <w:i/>
          <w:iCs/>
          <w:color w:val="000000"/>
          <w:sz w:val="22"/>
          <w:szCs w:val="22"/>
        </w:rPr>
        <w:t xml:space="preserve">Q. ellipsoidalis, </w:t>
      </w:r>
      <w:r>
        <w:rPr>
          <w:rFonts w:ascii="Calibri" w:hAnsi="Calibri" w:eastAsia="Calibri" w:cs="Calibri"/>
          <w:i/>
          <w:iCs/>
          <w:color w:val="000000"/>
          <w:sz w:val="22"/>
          <w:szCs w:val="22"/>
        </w:rPr>
        <w:t xml:space="preserve">Q. falcata, Q. laurifolia, </w:t>
      </w:r>
      <w:r>
        <w:rPr>
          <w:rFonts w:ascii="Calibri" w:hAnsi="Calibri" w:eastAsia="Calibri" w:cs="Calibri"/>
          <w:i/>
          <w:iCs/>
          <w:color w:val="000000"/>
          <w:sz w:val="22"/>
          <w:szCs w:val="22"/>
        </w:rPr>
        <w:t xml:space="preserve">Q. muehlenbergii, </w:t>
      </w:r>
      <w:r>
        <w:rPr>
          <w:rFonts w:ascii="Calibri" w:hAnsi="Calibri" w:eastAsia="Calibri" w:cs="Calibri"/>
          <w:i/>
          <w:iCs/>
          <w:color w:val="000000"/>
          <w:sz w:val="22"/>
          <w:szCs w:val="22"/>
        </w:rPr>
        <w:t xml:space="preserve">Q. nigra, </w:t>
      </w:r>
      <w:r>
        <w:rPr>
          <w:rFonts w:ascii="Calibri" w:hAnsi="Calibri" w:eastAsia="Calibri" w:cs="Calibri"/>
          <w:i/>
          <w:iCs/>
          <w:color w:val="000000"/>
          <w:sz w:val="22"/>
          <w:szCs w:val="22"/>
        </w:rPr>
        <w:t xml:space="preserve">Q. palustris</w:t>
      </w:r>
      <w:r>
        <w:rPr>
          <w:rFonts w:ascii="Calibri" w:hAnsi="Calibri" w:eastAsia="Calibri" w:cs="Calibri"/>
          <w:i/>
          <w:iCs/>
          <w:color w:val="000000"/>
          <w:sz w:val="22"/>
          <w:szCs w:val="22"/>
        </w:rPr>
        <w:t xml:space="preserve">, Q. prinus, Q. rubra, Q. texana,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velutina</w:t>
      </w:r>
      <w:r>
        <w:rPr>
          <w:rFonts w:ascii="Calibri" w:hAnsi="Calibri" w:eastAsia="Calibri" w:cs="Calibri"/>
          <w:color w:val="000000"/>
          <w:sz w:val="22"/>
          <w:szCs w:val="22"/>
        </w:rPr>
        <w:t xml:space="preserve">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In Wisconsin (USA),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was found by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to be common in red oaks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absent from white oak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although white oak is included in other host lists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hardwood hosts have been recorded. Rare and apparently non persistent infestations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were found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(Wood and Bright, 1992; Atkinson,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a species native to and widely spread in Eastern North America, including Canada and the USA (Wood and Bright, 1992; Bright, 2021).</w:t>
      </w:r>
    </w:p>
    <w:p>
      <w:r>
        <w:drawing>
          <wp:inline distT="0" distB="0" distL="0" distR="0">
            <wp:extent cx="6120000" cy="3067200"/>
            <wp:docPr id="90889306" name="name398167b854fbca267" descr="PSDP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MI_distribution_map.jpg"/>
                    <pic:cNvPicPr/>
                  </pic:nvPicPr>
                  <pic:blipFill>
                    <a:blip r:embed="rId378967b854fbca2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Delaware, District of Columbia, Florida, Georgia, Illinois, Indiana, Iowa, Kansas, Louisiana, Maine, Maryland, Massachusetts, Michigan, Minnesota, Mississippi, Missouri, New Hampshire, New Jersey, New York, North Carolina, Oklahoma, Pennsylvania,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New adults emerge in May. Before mating, young adult beetles need to carry out maturation feeding, which usually occurs on different parts of healthy and vigorous oaks, such as twig crotches, leaf petioles, bud axils, and immature acorns. After maturation feeding, adults attack the branches or trunks of dead or weakened oaks; cut or broken branches, limbs and boles are may also be selected for attack.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larvae bore galleries entirely in the phloem, although they usually show on the inner surface of peeled bark. Female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lay an average of 44 eggs and, it is thought probable that five larval instars occur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Pupation occurs in the phloem and cambium. In most of the species’ range, there are two generations per year. Usually, all life stages of the second generation successfully overwinter, except the pupal stage which is highly vulnerable to low winter temperatures. In colder areas of North America, however, only mature larvae are able to survive through the winter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are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w:t>
      </w:r>
      <w:r>
        <w:rPr>
          <w:rFonts w:ascii="Calibri" w:hAnsi="Calibri" w:eastAsia="Calibri" w:cs="Calibri"/>
          <w:i/>
          <w:iCs/>
          <w:color w:val="000000"/>
          <w:sz w:val="22"/>
          <w:szCs w:val="22"/>
        </w:rPr>
        <w:t xml:space="preserve">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of the branches is the occurrence of a large number of small circular entrance holes, which are often hidden in the cracks of the bark, making detection of the colonisation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1.5-1.8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reticulate frons and pronotal disc in both sexes, by the very fine, confused elytral punctures and by the uniformly short, confused, slender elytral setae (Wood,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2.7 times as long as wide, with lateral and upper margins of frons ornamented by a dense brush of long, yellow hair. Antennal club is small, with sutures 1 and 2 moderately arcuate. Pronotum is 1.1 times as long as wide, with anterior margin armed by about 16 coarse serrations; usually glabrous. Elytral surface shiny, with minute and irregular punctures, confused, shallow and rather close. Vestiture of short, fine, confused, reclining, moderately stout hair of uniform length, often slightly stouter on the steep and convex declivity. Females are similar to males except for frons with vestiture rather sparse, much shorter, confined to a smaller area; serration on anterior margin of pronotum usually finer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may be carried out in EPPO countries through a specific and intensive survey programme, which should be set up especially in those countries which import large quantities of oak wood from North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is not yet available. However, traps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interception and early detection 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adults. The emergence peak occurs in the middle of May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has also been trapped using window traps placed in the canopies of pin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 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often reported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are able to fly,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2021). Nevertheless, through most of their range, neither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or oak wilt disease are a serious problem for the local forest economy. In West Virginia less than one tree per square km of oak forest dies each year as a result of the oak bark beetle or the fungus. However, in parts of Minnesota and Wisconsin, rapid mortality is occurring in woods containing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These woods or forests are of little importance as sources of logs and sawn wood but have high amenity value, especially near bigger towns and cities.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beetles, and because both beetles and the pathogen are favoured by tree pruning, control measures rely principally on the avoidance of pruning during spring, the period of peak susceptibility to the insect and the pathogen. Moreover, chemical and mechanical means focused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impact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is related to its possible role as a vector of the oak wilt disease caused by the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Fresh wounds produced by maturation feeding of callow adults can be found from early spring onwards. The percentage of young adult beetles carrying the fungus is very variable. Although as many as 30% of beetles emerging from trees infected with oak wilt may carry the fungus, especially in spring, the percentage is more commonly between 0.4 and 2.5%. These data support the hypothesis that the relative importance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the overland transmission of the pathogen in oak species is minor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America, the import into European Union Member States is allowed only following the application of ISPM 15 protocols which include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591067b854fbcb008"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08 June 2021] </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Barc N, Philip M, Mech R, Smith AD, Galbraith E, Storer AJ &amp; Kirkendall LR (2009) The native and introduced bark and ambrosia beetles of Michigan (Coleoptera: Curculionidae, Scolytinae).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466367b854fbcb132"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776867b854fbcb1e1"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981867b854fbcb29b" w:history="1">
        <w:r>
          <w:rPr>
            <w:rFonts w:ascii="Calibri" w:hAnsi="Calibri" w:eastAsia="Calibri" w:cs="Calibri"/>
            <w:color w:val="0000CC"/>
            <w:sz w:val="22"/>
            <w:szCs w:val="22"/>
            <w:u w:val="single"/>
          </w:rPr>
          <w:t xml:space="preserve">https://gd.eppo.int/taxon/CERAFA/datasheet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 </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King EW &amp; Shenefelt RD (1955) The oak bark beetle,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its biology in Wisconsin.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491-495.</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 derived volatiles as attractants to beetles that bore into hardwoods. </w:t>
      </w:r>
      <w:r>
        <w:rPr>
          <w:rFonts w:ascii="Calibri" w:hAnsi="Calibri" w:eastAsia="Calibri" w:cs="Calibri"/>
          <w:i/>
          <w:iCs/>
          <w:color w:val="000000"/>
          <w:sz w:val="22"/>
          <w:szCs w:val="22"/>
        </w:rPr>
        <w:t xml:space="preserve">J. Chem. Ecol.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EPPO datasheets on pests recommended for regulation. Available online. </w:t>
      </w:r>
      <w:hyperlink r:id="rId101467b854fbcb89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3935141" name="name823367b854fbcba0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2167b854fbcba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70536">
    <w:multiLevelType w:val="hybridMultilevel"/>
    <w:lvl w:ilvl="0" w:tplc="46652181">
      <w:start w:val="1"/>
      <w:numFmt w:val="decimal"/>
      <w:lvlText w:val="%1."/>
      <w:lvlJc w:val="left"/>
      <w:pPr>
        <w:ind w:left="720" w:hanging="360"/>
      </w:pPr>
    </w:lvl>
    <w:lvl w:ilvl="1" w:tplc="46652181" w:tentative="1">
      <w:start w:val="1"/>
      <w:numFmt w:val="lowerLetter"/>
      <w:lvlText w:val="%2."/>
      <w:lvlJc w:val="left"/>
      <w:pPr>
        <w:ind w:left="1440" w:hanging="360"/>
      </w:pPr>
    </w:lvl>
    <w:lvl w:ilvl="2" w:tplc="46652181" w:tentative="1">
      <w:start w:val="1"/>
      <w:numFmt w:val="lowerRoman"/>
      <w:lvlText w:val="%3."/>
      <w:lvlJc w:val="right"/>
      <w:pPr>
        <w:ind w:left="2160" w:hanging="180"/>
      </w:pPr>
    </w:lvl>
    <w:lvl w:ilvl="3" w:tplc="46652181" w:tentative="1">
      <w:start w:val="1"/>
      <w:numFmt w:val="decimal"/>
      <w:lvlText w:val="%4."/>
      <w:lvlJc w:val="left"/>
      <w:pPr>
        <w:ind w:left="2880" w:hanging="360"/>
      </w:pPr>
    </w:lvl>
    <w:lvl w:ilvl="4" w:tplc="46652181" w:tentative="1">
      <w:start w:val="1"/>
      <w:numFmt w:val="lowerLetter"/>
      <w:lvlText w:val="%5."/>
      <w:lvlJc w:val="left"/>
      <w:pPr>
        <w:ind w:left="3600" w:hanging="360"/>
      </w:pPr>
    </w:lvl>
    <w:lvl w:ilvl="5" w:tplc="46652181" w:tentative="1">
      <w:start w:val="1"/>
      <w:numFmt w:val="lowerRoman"/>
      <w:lvlText w:val="%6."/>
      <w:lvlJc w:val="right"/>
      <w:pPr>
        <w:ind w:left="4320" w:hanging="180"/>
      </w:pPr>
    </w:lvl>
    <w:lvl w:ilvl="6" w:tplc="46652181" w:tentative="1">
      <w:start w:val="1"/>
      <w:numFmt w:val="decimal"/>
      <w:lvlText w:val="%7."/>
      <w:lvlJc w:val="left"/>
      <w:pPr>
        <w:ind w:left="5040" w:hanging="360"/>
      </w:pPr>
    </w:lvl>
    <w:lvl w:ilvl="7" w:tplc="46652181" w:tentative="1">
      <w:start w:val="1"/>
      <w:numFmt w:val="lowerLetter"/>
      <w:lvlText w:val="%8."/>
      <w:lvlJc w:val="left"/>
      <w:pPr>
        <w:ind w:left="5760" w:hanging="360"/>
      </w:pPr>
    </w:lvl>
    <w:lvl w:ilvl="8" w:tplc="46652181" w:tentative="1">
      <w:start w:val="1"/>
      <w:numFmt w:val="lowerRoman"/>
      <w:lvlText w:val="%9."/>
      <w:lvlJc w:val="right"/>
      <w:pPr>
        <w:ind w:left="6480" w:hanging="180"/>
      </w:pPr>
    </w:lvl>
  </w:abstractNum>
  <w:abstractNum w:abstractNumId="33570535">
    <w:multiLevelType w:val="hybridMultilevel"/>
    <w:lvl w:ilvl="0" w:tplc="348640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70535">
    <w:abstractNumId w:val="33570535"/>
  </w:num>
  <w:num w:numId="33570536">
    <w:abstractNumId w:val="335705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8262273" Type="http://schemas.microsoft.com/office/2011/relationships/commentsExtended" Target="commentsExtended.xml"/><Relationship Id="rId680507128" Type="http://schemas.microsoft.com/office/2011/relationships/people" Target="people.xml"/><Relationship Id="rId943367b854fbc8c48" Type="http://schemas.openxmlformats.org/officeDocument/2006/relationships/hyperlink" Target="https://gd.eppo.int/taxon/PSDPMI/" TargetMode="External"/><Relationship Id="rId219267b854fbc8cae" Type="http://schemas.openxmlformats.org/officeDocument/2006/relationships/hyperlink" Target="https://gd.eppo.int/taxon/PSDPMI/categorization" TargetMode="External"/><Relationship Id="rId591067b854fbcb008" Type="http://schemas.openxmlformats.org/officeDocument/2006/relationships/hyperlink" Target="http://www.barkbeetles.info/index.php" TargetMode="External"/><Relationship Id="rId466367b854fbcb132" Type="http://schemas.openxmlformats.org/officeDocument/2006/relationships/hyperlink" Target="https://doi.org/10.2903/j.efsa.2018.5185" TargetMode="External"/><Relationship Id="rId776867b854fbcb1e1" Type="http://schemas.openxmlformats.org/officeDocument/2006/relationships/hyperlink" Target="https://doi.org/10.2903/j.efsa.2019.5513" TargetMode="External"/><Relationship Id="rId981867b854fbcb29b" Type="http://schemas.openxmlformats.org/officeDocument/2006/relationships/hyperlink" Target="https://gd.eppo.int/taxon/CERAFA/datasheet" TargetMode="External"/><Relationship Id="rId101467b854fbcb894" Type="http://schemas.openxmlformats.org/officeDocument/2006/relationships/hyperlink" Target="https://gd.eppo.int" TargetMode="External"/><Relationship Id="rId378967b854fbca265" Type="http://schemas.openxmlformats.org/officeDocument/2006/relationships/image" Target="media/imgrId378967b854fbca265.jpg"/><Relationship Id="rId562167b854fbcba01" Type="http://schemas.openxmlformats.org/officeDocument/2006/relationships/image" Target="media/imgrId562167b854fbcba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