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pseudosolanacearum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pseudosolanacearum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Safni, Cleenwerck, de Vos, Fegan, Sly &amp; Kappler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185767ce5703c03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95367ce5703c038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342402" name="name136067ce5703c0c57" descr="15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1.jpg"/>
                          <pic:cNvPicPr/>
                        </pic:nvPicPr>
                        <pic:blipFill>
                          <a:blip r:embed="rId485367ce5703c0c55" cstate="print"/>
                          <a:stretch>
                            <a:fillRect/>
                          </a:stretch>
                        </pic:blipFill>
                        <pic:spPr>
                          <a:xfrm>
                            <a:off x="0" y="0"/>
                            <a:ext cx="2160000" cy="1281600"/>
                          </a:xfrm>
                          <a:prstGeom prst="rect">
                            <a:avLst/>
                          </a:prstGeom>
                          <a:ln w="0">
                            <a:noFill/>
                          </a:ln>
                        </pic:spPr>
                      </pic:pic>
                    </a:graphicData>
                  </a:graphic>
                </wp:inline>
              </w:drawing>
            </w:r>
            <w:hyperlink r:id="rId194767ce5703c0db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and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datasheet considers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 have a wide range of cultivated and wild hosts. Of major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as well as cucurbits,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and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Strains pathogenic to the solanaceous crops comprise a very wide range of sequevars belonging to both pathotypes I and III. Strains pathogenic to ginger were historically designated race 4, having a wide host range with additional pathogenicity to ginger, and are now known to comprise several sequevars of phylotype I, so far including: PI-14, PI-15, PI-16, PI-17, PI-18, PI-31, PI-44, PI-47, PI-48 and other as yet unassigned sequevars of phylotype I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Ramesh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of the same sequevars of phylotype I have also been found to infect peanut, including: PI-13, PI-14, PI-15, PI-17, PI-18, PI-31, PI-44, PI-48 and PI-54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Cellier &amp; Prior, 2010; 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last of which was incorrectly numbered in China (sequevar 54 being already ascribed to phylotype IIB in Brazil).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essentially absent from the EPPO region, although strains have occasionally been introduced with ornamental/spice plants or plant parts of tropical origin and have caused bacterial wilt disease under heated greenhouse conditions in temperate climates before being successfully eradicated.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alismatifolia</w:t>
      </w:r>
      <w:r>
        <w:rPr>
          <w:rFonts w:ascii="Calibri" w:hAnsi="Calibri" w:eastAsia="Calibri" w:cs="Calibri"/>
          <w:color w:val="000000"/>
          <w:sz w:val="22"/>
          <w:szCs w:val="22"/>
        </w:rPr>
        <w:t xml:space="preserve"> (Janse, 2012)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latter case infected plants were distributed amongst several countries (including the Netherlands, Belgium, Portugal and Switzerland) before the pathogen was detected and eradicated.</w:t>
      </w:r>
    </w:p>
    <w:p>
      <w:pPr>
        <w:widowControl w:val="on"/>
        <w:pBdr/>
        <w:spacing w:before="220" w:after="220" w:line="240" w:lineRule="auto"/>
        <w:ind w:left="0" w:right="0"/>
        <w:jc w:val="both"/>
      </w:pPr>
      <w:r>
        <w:rPr>
          <w:rFonts w:ascii="Calibri" w:hAnsi="Calibri" w:eastAsia="Calibri" w:cs="Calibri"/>
          <w:color w:val="000000"/>
          <w:sz w:val="22"/>
          <w:szCs w:val="22"/>
        </w:rPr>
        <w:t xml:space="preserve">New hosts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still being discovered. Many known hosts are shared with those of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and phylotypes. Fewer hosts have been reported for strains of phylotype III than for phylotype I, probably due to the fact that phylotype III has been less studied. Hosts listed here are reported natural hosts worldwide, focusing mainly on cultivated plants where isolates of the bacterium have been characterized to phylotype and sequevar of the RSSC. For historical host lists, see Kelman (1953), Bradbury (1986), Persley (1986) and Hayward (1994). Several other host lists, including wild herbaceous and tree species, have been reported,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and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subulatum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Phylotype I is regarded to be of Asian origin, whereas phylotype III is of African origin. Phylotype III has largely remained within its centre of origin, so far being found only in Africa and islands in the Indian Ocean. A large diversity of phylotype I sequevars are widely distributed across South and South-East Asia and some have been further dispersed worldwide, probably through international trade in infected, often asymptomatic, vegetatively propagated crops (e.g. ginger and turmeric rhizomes) and ornamental host plants and plant parts, or possibly in infected peanut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both phylotypes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as follows:</w:t>
      </w:r>
    </w:p>
    <w:p>
      <w:r>
        <w:drawing>
          <wp:inline distT="0" distB="0" distL="0" distR="0">
            <wp:extent cx="6120000" cy="3067200"/>
            <wp:docPr id="84758781" name="name681867ce5703c40e6" descr="RALS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PS_distribution_map.jpg"/>
                    <pic:cNvPicPr/>
                  </pic:nvPicPr>
                  <pic:blipFill>
                    <a:blip r:embed="rId773467ce5703c40e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Greece (mainland), Hungary, Italy (mainland), Kyrgyzstan, Netherlands, Poland, Slovenia,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Cameroon, Comoros, Congo, Democratic republic of the, Cote d'Ivoire, Ethiopia, Gambia, Ghana, Guinea, Kenya, Madagascar, Mali, Mauritius, Mayotte, Niger, Nigeria, Reunion, Rwanda, Seychelles, South Africa,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Chongqing, Fujian, Guangdong, Guangxi, Guizhou, Hainan, Hebei, Henan, Hubei, Hunan, Jiangxi, Shandong, Shanxi, Sichuan, Yunnan, Zhejiang), India (Andaman and Nicobar Islands, Andhra Pradesh, Bihar, Goa, Himachal Pradesh, Jammu &amp; Kashmir, Jharkand, Karnataka, Kerala, Maharashtra, Meghalaya, Odisha, Tamil Nadu, West Bengal), Indonesia (Java), Japan (Hokkaido, Honshu, Kyushu, Ryukyu Archipelago, Shikoku), Korea, Republic, Kyrgyzstan, Laos,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Louisiana, Minnesota)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Amapa, Amazonas, Bahia, Ceara, Distrito Federal, Espirito Santo, Maranhao, Mato Grosso, Minas Gerais, Para, Paraiba, Pernambuco, Piaui, Santa Catarina, Sao Paulo, Sergipe, Tocantins),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Micronesia, New Caledonia, Papua New Guinea,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Disease is usually most severe at temperatures of 24-35°C. High soil moisture or periods of wet weather or rainy seasons are associated with high disease incidence. Entry into plants is usually through root injuries from where the bacterium moves by colonization of the xylem. Blocking of the vessels by bacterial biofilm is the major cause of wilting. Disease severity generally increases if the bacteria are found in association with root nematodes. In tobacco and other crop hosts, nematode infestation changes the physiology of the plants, causing susceptibility to bacterial wilt (Chen, 1984). Experiments in India showed that the combined pathogenic effects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javanica</w:t>
      </w:r>
      <w:r>
        <w:rPr>
          <w:rFonts w:ascii="Calibri" w:hAnsi="Calibri" w:eastAsia="Calibri" w:cs="Calibri"/>
          <w:color w:val="000000"/>
          <w:sz w:val="22"/>
          <w:szCs w:val="22"/>
        </w:rPr>
        <w:t xml:space="preserve"> were greater than the independent effects of either pest (Sitaramaiah &amp; Sinha,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r>
        <w:rPr>
          <w:rFonts w:ascii="Calibri" w:hAnsi="Calibri" w:eastAsia="Calibri" w:cs="Calibri"/>
          <w:color w:val="000000"/>
          <w:sz w:val="22"/>
          <w:szCs w:val="22"/>
        </w:rPr>
        <w:t xml:space="preserve"> 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r>
        <w:rPr>
          <w:rFonts w:ascii="Calibri" w:hAnsi="Calibri" w:eastAsia="Calibri" w:cs="Calibri"/>
          <w:color w:val="000000"/>
          <w:sz w:val="22"/>
          <w:szCs w:val="22"/>
        </w:rPr>
        <w:t xml:space="preserve"> The youngest leaves are the first to be affected and have a flaccid appearance, this first occurs usually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r>
        <w:rPr>
          <w:rFonts w:ascii="Calibri" w:hAnsi="Calibri" w:eastAsia="Calibri" w:cs="Calibri"/>
          <w:color w:val="000000"/>
          <w:sz w:val="22"/>
          <w:szCs w:val="22"/>
        </w:rPr>
        <w:t xml:space="preserve"> 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ginger: </w:t>
      </w:r>
      <w:r>
        <w:rPr>
          <w:rFonts w:ascii="Calibri" w:hAnsi="Calibri" w:eastAsia="Calibri" w:cs="Calibri"/>
          <w:color w:val="000000"/>
          <w:sz w:val="22"/>
          <w:szCs w:val="22"/>
        </w:rPr>
        <w:t xml:space="preserve">The symptoms are a slight yellowing and wilting of the lower leaves, progressing upward and resulting in complete yellowing and browning of the entire shoot. Under favourable conditions, the entire shoot becomes flaccid and wilts before turning yellow-brown in 3-4 days. Young succulent shoots rot and break off easily from the underground rhizome at the soil level. The underground parts become completely infected. Localised greyish brown discoloration, with a water-soaked appearance in the centre, eventually spreads throughout the rhizomes, resulting in rotting of the entire rhizome. A creamy bacterial exudate oozes from the surface of a cut rhizome or stem (Trujillo, 1964).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peanut: </w:t>
      </w:r>
      <w:r>
        <w:rPr>
          <w:rFonts w:ascii="Calibri" w:hAnsi="Calibri" w:eastAsia="Calibri" w:cs="Calibri"/>
          <w:color w:val="000000"/>
          <w:sz w:val="22"/>
          <w:szCs w:val="22"/>
        </w:rPr>
        <w:t xml:space="preserve">Wilt symptoms first appear 2-3 weeks after planting. The first sign of disease is a slight drooping or curling of one or more leaves. In more advanced stages, the plants may bend over at the tip, appear dry, and eventually turn brown, wither and die. Infected plants have discoloured and rotten roots and pods with dark brown discolouration in the xylem and pith and streaming of bacterial ooze from cut stems (Mehan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w:t>
      </w:r>
      <w:r>
        <w:rPr>
          <w:rFonts w:ascii="Calibri" w:hAnsi="Calibri" w:eastAsia="Calibri" w:cs="Calibri"/>
          <w:color w:val="000000"/>
          <w:sz w:val="22"/>
          <w:szCs w:val="22"/>
        </w:rPr>
        <w:t xml:space="preserve"> 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w:t>
      </w:r>
      <w:r>
        <w:rPr>
          <w:rFonts w:ascii="Calibri" w:hAnsi="Calibri" w:eastAsia="Calibri" w:cs="Calibri"/>
          <w:color w:val="000000"/>
          <w:sz w:val="22"/>
          <w:szCs w:val="22"/>
        </w:rPr>
        <w:t xml:space="preserve"> 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tetrazolium.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ginger and turmeric rhizomes and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 Once infections are established, local spread can occur when the bacterium is transmitted mechanically during pruning operations or when cuttings are taken for propagation. Spread to neighbouring plants can also occur through soil drainage water and by root contact. The bacterium also spreads through surface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pathogens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accurate detection and reporting of the pathogen, quarantine measures on infected fields and farms, rotation with non-host crops for at least two years, control of weed hosts and volunteer plants (and in some cases of nematodes), avoidance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turmeric and rose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may take place if the bacteria are introduced via discharge of poorly or non-treated wastes into surface water, which is then used to irrigate susceptible crops.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has been previously introduced into the EPPO region in infected ornamental plants for planting. </w:t>
      </w:r>
      <w:r>
        <w:rPr>
          <w:rFonts w:ascii="Calibri" w:hAnsi="Calibri" w:eastAsia="Calibri" w:cs="Calibri"/>
          <w:i/>
          <w:iCs/>
          <w:color w:val="000000"/>
          <w:sz w:val="22"/>
          <w:szCs w:val="22"/>
        </w:rPr>
        <w:t xml:space="preserve">R. </w:t>
      </w:r>
      <w:r>
        <w:rPr>
          <w:rFonts w:ascii="Calibri" w:hAnsi="Calibri" w:eastAsia="Calibri" w:cs="Calibri"/>
          <w:i/>
          <w:iCs/>
          <w:color w:val="000000"/>
          <w:sz w:val="22"/>
          <w:szCs w:val="22"/>
        </w:rPr>
        <w:t xml:space="preserve">pseudosolanacearum</w:t>
      </w:r>
      <w:r>
        <w:rPr>
          <w:rFonts w:ascii="Calibri" w:hAnsi="Calibri" w:eastAsia="Calibri" w:cs="Calibri"/>
          <w:color w:val="000000"/>
          <w:sz w:val="22"/>
          <w:szCs w:val="22"/>
        </w:rPr>
        <w:t xml:space="preserve"> has a wide host range including solanaceous crops and could present a risk if accidentally imported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Abdurahman A, Parker ML, Kreuze J, Elphinstone JG, Struik PC, Kigundu A, Arengo E, Sharma K (2019)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strains causing bacterial wilt of potato in Uganda.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1922-1931. 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CAB International</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and Prior P (2010) Deciphering phenotypic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pathogenic to potato.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100, </w:t>
      </w:r>
      <w:r>
        <w:rPr>
          <w:rFonts w:ascii="Calibri" w:hAnsi="Calibri" w:eastAsia="Calibri" w:cs="Calibri"/>
          <w:color w:val="000000"/>
          <w:sz w:val="22"/>
          <w:szCs w:val="22"/>
        </w:rPr>
        <w:t xml:space="preserve"> 1250-1261.</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926567ce5703c5a7c"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by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5618, 28 pp. </w:t>
      </w:r>
      <w:hyperlink r:id="rId915567ce5703c5c1a"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552667ce5703c5c99"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539167ce5703c5cfc"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830967ce5703c5d2f"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332367ce5703c5d83"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272267ce5703c5dd5"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and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Horita M, Tsuchiya K, Suga Y, Yano K, Waki T, Kurose D, Furuya N (2014) Current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genetic diversity of the strains in Japan.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455-465.</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486967ce5703c6003"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147-145.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(2012) Review on brown rot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phylotype IIB) epidemiology and control in the Netherlands since 1995: A success story of integrated pest management.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257-272.</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815467ce5703c6374" w:history="1">
        <w:r>
          <w:rPr>
            <w:rFonts w:ascii="Calibri" w:hAnsi="Calibri" w:eastAsia="Calibri" w:cs="Calibri"/>
            <w:color w:val="0000CC"/>
            <w:sz w:val="22"/>
            <w:szCs w:val="22"/>
            <w:u w:val="single"/>
          </w:rPr>
          <w:t xml:space="preserve">https://doi.org/10.3389/fmicb.2018.01228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145467ce5703c6410"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Mehan VK, Liao BS, Tan YJ, Robinson-Smith A, McDonald D, Hayward AC (1994) Bacterial wilt of groundnut</w:t>
      </w:r>
      <w:r>
        <w:rPr>
          <w:rFonts w:ascii="Calibri" w:hAnsi="Calibri" w:eastAsia="Calibri" w:cs="Calibri"/>
          <w:i/>
          <w:iCs/>
          <w:color w:val="000000"/>
          <w:sz w:val="22"/>
          <w:szCs w:val="22"/>
        </w:rPr>
        <w:t xml:space="preserve">. Information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Patancheru, AP 502 324, India: International Crops Research Institute for the Semi-Arid Tropics. 28 pp.</w:t>
      </w:r>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438-438.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Pan ZC, Xu J, Prior P, Xu JS, Zhang H, Chen KY, Tian Q, Zhang LQ, Liu L, He LY, Feng J (2013) Development of a specific molecular tool for the detection of epidemiologically active mulberry causing-disease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 (historically race 5-biovar 5)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377-391. </w:t>
      </w:r>
      <w:hyperlink r:id="rId130367ce5703c6837" w:history="1">
        <w:r>
          <w:rPr>
            <w:rFonts w:ascii="Calibri" w:hAnsi="Calibri" w:eastAsia="Calibri" w:cs="Calibri"/>
            <w:color w:val="0000CC"/>
            <w:sz w:val="22"/>
            <w:szCs w:val="22"/>
            <w:u w:val="single"/>
          </w:rPr>
          <w:t xml:space="preserve">https://doi.org/10.1007/s10658-013-0249-9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318067ce5703c692c"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758467ce5703c6b41"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Ramesh R, Achari GA, Gaitonde S (2014)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infecting solanaceous vegetables from India reveals the existence of unknown or newer sequevars of Phylotype I strains.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543-562.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167967ce5703c7394"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 X, He Z, Li H (2018) Genetic structure and phylogenetic relationships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diverse origins in Guangdong Province, China. </w:t>
      </w:r>
      <w:r>
        <w:rPr>
          <w:rFonts w:ascii="Calibri" w:hAnsi="Calibri" w:eastAsia="Calibri" w:cs="Calibri"/>
          <w:i/>
          <w:iCs/>
          <w:color w:val="000000"/>
          <w:sz w:val="22"/>
          <w:szCs w:val="22"/>
        </w:rPr>
        <w:t xml:space="preserve">Journal of Phytopathology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990667ce5703c7625"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Trujillo EE (1964) Diseases of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in Hawaii. Hawaii Agricultural Experiment Station, University of Hawaii.</w:t>
      </w:r>
      <w:r>
        <w:rPr>
          <w:rFonts w:ascii="Calibri" w:hAnsi="Calibri" w:eastAsia="Calibri" w:cs="Calibri"/>
          <w:i/>
          <w:iCs/>
          <w:color w:val="000000"/>
          <w:sz w:val="22"/>
          <w:szCs w:val="22"/>
        </w:rPr>
        <w:t xml:space="preserve">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62, </w:t>
      </w:r>
      <w:r>
        <w:rPr>
          <w:rFonts w:ascii="Calibri" w:hAnsi="Calibri" w:eastAsia="Calibri" w:cs="Calibri"/>
          <w:color w:val="000000"/>
          <w:sz w:val="22"/>
          <w:szCs w:val="22"/>
        </w:rPr>
        <w:t xml:space="preserve">6.</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Waki T, Horita M, Kurose D, Mulya K, Tsuchiya K (2013) Genetic diversity of Zingiberaceae plant isolates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the Asia-Pacific region. </w:t>
      </w:r>
      <w:r>
        <w:rPr>
          <w:rFonts w:ascii="Calibri" w:hAnsi="Calibri" w:eastAsia="Calibri" w:cs="Calibri"/>
          <w:i/>
          <w:iCs/>
          <w:color w:val="000000"/>
          <w:sz w:val="22"/>
          <w:szCs w:val="22"/>
        </w:rPr>
        <w:t xml:space="preserve">Japan Agricultural Research Quarterly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283-294. </w:t>
      </w:r>
      <w:hyperlink r:id="rId417967ce5703c786f" w:history="1">
        <w:r>
          <w:rPr>
            <w:rFonts w:ascii="Calibri" w:hAnsi="Calibri" w:eastAsia="Calibri" w:cs="Calibri"/>
            <w:color w:val="0000CC"/>
            <w:sz w:val="22"/>
            <w:szCs w:val="22"/>
            <w:u w:val="single"/>
          </w:rPr>
          <w:t xml:space="preserve">http://www.jircas.affrc.go.jp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L, Wang B, Zhao G, Cai X, Jabaji S, Seguin P, Chen H (2017) Genetic and pathogenic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causing potato brown rot in China.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403-416.</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Xu J, Pan ZC, Prior P, Xu JS, Zhang Z, Zhang H, Zhang LQ, He LY, Feng J (2009)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China.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641-653.</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725567ce5703c7c21"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EPPO datasheets on pests recommended for regulation. Available online. </w:t>
      </w:r>
      <w:hyperlink r:id="rId721967ce5703c7d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4094441" name="name829867ce5703c7ec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3067ce5703c7ec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916740">
    <w:multiLevelType w:val="hybridMultilevel"/>
    <w:lvl w:ilvl="0" w:tplc="81653636">
      <w:start w:val="1"/>
      <w:numFmt w:val="decimal"/>
      <w:lvlText w:val="%1."/>
      <w:lvlJc w:val="left"/>
      <w:pPr>
        <w:ind w:left="720" w:hanging="360"/>
      </w:pPr>
    </w:lvl>
    <w:lvl w:ilvl="1" w:tplc="81653636" w:tentative="1">
      <w:start w:val="1"/>
      <w:numFmt w:val="lowerLetter"/>
      <w:lvlText w:val="%2."/>
      <w:lvlJc w:val="left"/>
      <w:pPr>
        <w:ind w:left="1440" w:hanging="360"/>
      </w:pPr>
    </w:lvl>
    <w:lvl w:ilvl="2" w:tplc="81653636" w:tentative="1">
      <w:start w:val="1"/>
      <w:numFmt w:val="lowerRoman"/>
      <w:lvlText w:val="%3."/>
      <w:lvlJc w:val="right"/>
      <w:pPr>
        <w:ind w:left="2160" w:hanging="180"/>
      </w:pPr>
    </w:lvl>
    <w:lvl w:ilvl="3" w:tplc="81653636" w:tentative="1">
      <w:start w:val="1"/>
      <w:numFmt w:val="decimal"/>
      <w:lvlText w:val="%4."/>
      <w:lvlJc w:val="left"/>
      <w:pPr>
        <w:ind w:left="2880" w:hanging="360"/>
      </w:pPr>
    </w:lvl>
    <w:lvl w:ilvl="4" w:tplc="81653636" w:tentative="1">
      <w:start w:val="1"/>
      <w:numFmt w:val="lowerLetter"/>
      <w:lvlText w:val="%5."/>
      <w:lvlJc w:val="left"/>
      <w:pPr>
        <w:ind w:left="3600" w:hanging="360"/>
      </w:pPr>
    </w:lvl>
    <w:lvl w:ilvl="5" w:tplc="81653636" w:tentative="1">
      <w:start w:val="1"/>
      <w:numFmt w:val="lowerRoman"/>
      <w:lvlText w:val="%6."/>
      <w:lvlJc w:val="right"/>
      <w:pPr>
        <w:ind w:left="4320" w:hanging="180"/>
      </w:pPr>
    </w:lvl>
    <w:lvl w:ilvl="6" w:tplc="81653636" w:tentative="1">
      <w:start w:val="1"/>
      <w:numFmt w:val="decimal"/>
      <w:lvlText w:val="%7."/>
      <w:lvlJc w:val="left"/>
      <w:pPr>
        <w:ind w:left="5040" w:hanging="360"/>
      </w:pPr>
    </w:lvl>
    <w:lvl w:ilvl="7" w:tplc="81653636" w:tentative="1">
      <w:start w:val="1"/>
      <w:numFmt w:val="lowerLetter"/>
      <w:lvlText w:val="%8."/>
      <w:lvlJc w:val="left"/>
      <w:pPr>
        <w:ind w:left="5760" w:hanging="360"/>
      </w:pPr>
    </w:lvl>
    <w:lvl w:ilvl="8" w:tplc="81653636" w:tentative="1">
      <w:start w:val="1"/>
      <w:numFmt w:val="lowerRoman"/>
      <w:lvlText w:val="%9."/>
      <w:lvlJc w:val="right"/>
      <w:pPr>
        <w:ind w:left="6480" w:hanging="180"/>
      </w:pPr>
    </w:lvl>
  </w:abstractNum>
  <w:abstractNum w:abstractNumId="65916739">
    <w:multiLevelType w:val="hybridMultilevel"/>
    <w:lvl w:ilvl="0" w:tplc="296672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916739">
    <w:abstractNumId w:val="65916739"/>
  </w:num>
  <w:num w:numId="65916740">
    <w:abstractNumId w:val="659167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0205845" Type="http://schemas.microsoft.com/office/2011/relationships/commentsExtended" Target="commentsExtended.xml"/><Relationship Id="rId459238556" Type="http://schemas.microsoft.com/office/2011/relationships/people" Target="people.xml"/><Relationship Id="rId185767ce5703c0314" Type="http://schemas.openxmlformats.org/officeDocument/2006/relationships/hyperlink" Target="https://gd.eppo.int/taxon/RALSPS/" TargetMode="External"/><Relationship Id="rId195367ce5703c0384" Type="http://schemas.openxmlformats.org/officeDocument/2006/relationships/hyperlink" Target="https://gd.eppo.int/taxon/RALSPS/categorization" TargetMode="External"/><Relationship Id="rId194767ce5703c0db5" Type="http://schemas.openxmlformats.org/officeDocument/2006/relationships/hyperlink" Target="https://gd.eppo.int/taxon/RALSPS/photos" TargetMode="External"/><Relationship Id="rId926567ce5703c5a7c" Type="http://schemas.openxmlformats.org/officeDocument/2006/relationships/hyperlink" Target="https://doi.org/10.1007/978-3-030-28683-5" TargetMode="External"/><Relationship Id="rId915567ce5703c5c1a" Type="http://schemas.openxmlformats.org/officeDocument/2006/relationships/hyperlink" Target="https://doi.org/10.2903/j.efsa.2019.5618" TargetMode="External"/><Relationship Id="rId552667ce5703c5c99" Type="http://schemas.openxmlformats.org/officeDocument/2006/relationships/hyperlink" Target="https://gd.eppo.int/" TargetMode="External"/><Relationship Id="rId539167ce5703c5cfc" Type="http://schemas.openxmlformats.org/officeDocument/2006/relationships/hyperlink" Target="https://gd.eppo.int/" TargetMode="External"/><Relationship Id="rId830967ce5703c5d2f" Type="http://schemas.openxmlformats.org/officeDocument/2006/relationships/hyperlink" Target="https://gd.eppo.int/" TargetMode="External"/><Relationship Id="rId332367ce5703c5d83" Type="http://schemas.openxmlformats.org/officeDocument/2006/relationships/hyperlink" Target="https://gd.eppo.int/" TargetMode="External"/><Relationship Id="rId272267ce5703c5dd5" Type="http://schemas.openxmlformats.org/officeDocument/2006/relationships/hyperlink" Target="https://gd.eppo.int/" TargetMode="External"/><Relationship Id="rId486967ce5703c6003" Type="http://schemas.openxmlformats.org/officeDocument/2006/relationships/hyperlink" Target="https://doi.org/10.3389/fpls.2014.00715" TargetMode="External"/><Relationship Id="rId815467ce5703c6374" Type="http://schemas.openxmlformats.org/officeDocument/2006/relationships/hyperlink" Target="https://doi.org/10.3389/fmicb.2018.01228" TargetMode="External"/><Relationship Id="rId145467ce5703c6410" Type="http://schemas.openxmlformats.org/officeDocument/2006/relationships/hyperlink" Target="https://doi.org/10.1111/j.1364-3703.2012.00804.x" TargetMode="External"/><Relationship Id="rId130367ce5703c6837" Type="http://schemas.openxmlformats.org/officeDocument/2006/relationships/hyperlink" Target="https://doi.org/10.1007/s10658-013-0249-9" TargetMode="External"/><Relationship Id="rId318067ce5703c692c" Type="http://schemas.openxmlformats.org/officeDocument/2006/relationships/hyperlink" Target="https://doi.org/10.21273/HORTTECH.18.1.90" TargetMode="External"/><Relationship Id="rId758467ce5703c6b41" Type="http://schemas.openxmlformats.org/officeDocument/2006/relationships/hyperlink" Target="https://doi.org/10.3390/pathogens9110886" TargetMode="External"/><Relationship Id="rId167967ce5703c7394" Type="http://schemas.openxmlformats.org/officeDocument/2006/relationships/hyperlink" Target="https://doi.org/10.1099/ijs.0.066712-0" TargetMode="External"/><Relationship Id="rId990667ce5703c7625" Type="http://schemas.openxmlformats.org/officeDocument/2006/relationships/hyperlink" Target="https://doi.org/10.1094/PDIS-02-16-0250-PDN" TargetMode="External"/><Relationship Id="rId417967ce5703c786f" Type="http://schemas.openxmlformats.org/officeDocument/2006/relationships/hyperlink" Target="http://www.jircas.affrc.go.jp" TargetMode="External"/><Relationship Id="rId725567ce5703c7c21" Type="http://schemas.openxmlformats.org/officeDocument/2006/relationships/hyperlink" Target="https://doi.org/10.1264/jsme2.ME14144" TargetMode="External"/><Relationship Id="rId721967ce5703c7d9a" Type="http://schemas.openxmlformats.org/officeDocument/2006/relationships/hyperlink" Target="https://gd.eppo.int" TargetMode="External"/><Relationship Id="rId485367ce5703c0c55" Type="http://schemas.openxmlformats.org/officeDocument/2006/relationships/image" Target="media/imgrId485367ce5703c0c55.jpg"/><Relationship Id="rId773467ce5703c40e3" Type="http://schemas.openxmlformats.org/officeDocument/2006/relationships/image" Target="media/imgrId773467ce5703c40e3.jpg"/><Relationship Id="rId363067ce5703c7ec4" Type="http://schemas.openxmlformats.org/officeDocument/2006/relationships/image" Target="media/imgrId363067ce5703c7ec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