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Saperda candida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candida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bipunctata</w:t>
            </w:r>
            <w:r>
              <w:rPr>
                <w:rFonts w:ascii="Calibri" w:hAnsi="Calibri" w:eastAsia="Calibri" w:cs="Calibri"/>
                <w:color w:val="000000"/>
                <w:position w:val="-3"/>
                <w:sz w:val="22"/>
                <w:szCs w:val="22"/>
              </w:rPr>
              <w:t xml:space="preserve"> Hopping, </w:t>
            </w:r>
            <w:r>
              <w:rPr>
                <w:rFonts w:ascii="Calibri" w:hAnsi="Calibri" w:eastAsia="Calibri" w:cs="Calibri"/>
                <w:i/>
                <w:iCs/>
                <w:color w:val="000000"/>
                <w:position w:val="-3"/>
                <w:sz w:val="22"/>
                <w:szCs w:val="22"/>
              </w:rPr>
              <w:t xml:space="preserve">Saperda bivittata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Saskatoon borer, round-headed apple-tree borer</w:t>
            </w:r>
            <w:hyperlink r:id="rId261967ce6dd4023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8867ce6dd4023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SAPECN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856476" name="name993867ce6dd402acd" descr="1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4.jpg"/>
                          <pic:cNvPicPr/>
                        </pic:nvPicPr>
                        <pic:blipFill>
                          <a:blip r:embed="rId408267ce6dd402acb" cstate="print"/>
                          <a:stretch>
                            <a:fillRect/>
                          </a:stretch>
                        </pic:blipFill>
                        <pic:spPr>
                          <a:xfrm>
                            <a:off x="0" y="0"/>
                            <a:ext cx="2160000" cy="1281600"/>
                          </a:xfrm>
                          <a:prstGeom prst="rect">
                            <a:avLst/>
                          </a:prstGeom>
                          <a:ln w="0">
                            <a:noFill/>
                          </a:ln>
                        </pic:spPr>
                      </pic:pic>
                    </a:graphicData>
                  </a:graphic>
                </wp:inline>
              </w:drawing>
            </w:r>
            <w:hyperlink r:id="rId870067ce6dd402bf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valid subspecies for this distinctive insect. The names </w:t>
      </w:r>
      <w:r>
        <w:rPr>
          <w:rFonts w:ascii="Calibri" w:hAnsi="Calibri" w:eastAsia="Calibri" w:cs="Calibri"/>
          <w:i/>
          <w:iCs/>
          <w:color w:val="000000"/>
          <w:sz w:val="22"/>
          <w:szCs w:val="22"/>
        </w:rPr>
        <w:t xml:space="preserve">bipunctata</w:t>
      </w:r>
      <w:r>
        <w:rPr>
          <w:rFonts w:ascii="Calibri" w:hAnsi="Calibri" w:eastAsia="Calibri" w:cs="Calibri"/>
          <w:color w:val="000000"/>
          <w:sz w:val="22"/>
          <w:szCs w:val="22"/>
        </w:rPr>
        <w:t xml:space="preserve"> Hopping and </w:t>
      </w:r>
      <w:r>
        <w:rPr>
          <w:rFonts w:ascii="Calibri" w:hAnsi="Calibri" w:eastAsia="Calibri" w:cs="Calibri"/>
          <w:i/>
          <w:iCs/>
          <w:color w:val="000000"/>
          <w:sz w:val="22"/>
          <w:szCs w:val="22"/>
        </w:rPr>
        <w:t xml:space="preserve">bivittata</w:t>
      </w:r>
      <w:r>
        <w:rPr>
          <w:rFonts w:ascii="Calibri" w:hAnsi="Calibri" w:eastAsia="Calibri" w:cs="Calibri"/>
          <w:color w:val="000000"/>
          <w:sz w:val="22"/>
          <w:szCs w:val="22"/>
        </w:rPr>
        <w:t xml:space="preserve"> Say are junior synonyms of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Fabricius (Linsley &amp; Chemsak,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nearly exclusively on woody hosts within the family Rosaceae (Linsley &amp; Chemsak, 1995; 1997). In North America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the most important cultivated hosts, while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the most common native wild hosts (Felt &amp; Joutel, 1904). </w:t>
      </w:r>
      <w:r>
        <w:rPr>
          <w:rFonts w:ascii="Calibri" w:hAnsi="Calibri" w:eastAsia="Calibri" w:cs="Calibri"/>
          <w:i/>
          <w:iCs/>
          <w:color w:val="000000"/>
          <w:sz w:val="22"/>
          <w:szCs w:val="22"/>
        </w:rPr>
        <w:t xml:space="preserve">Aronia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also reported as hosts while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is possibly a host but this needs confirmation. Relatively recent studies (Vlasak &amp; Vlasakova, 2002) report the rearing of adults from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Borkhausenia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native range of this beetle is throughout the eastern United States as far west as Texas and the Dakotas (Linsley &amp; Chemsak, 1995), and in southeastern Canada from Nova Scotia west to central Alberta (Bousquet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Bousquet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In 2008 it was detected in Germany on the island of Fehmarn (Nolte &amp; Krieger, 2008), where eradication measures are being applied.</w:t>
      </w:r>
    </w:p>
    <w:p>
      <w:r>
        <w:drawing>
          <wp:inline distT="0" distB="0" distL="0" distR="0">
            <wp:extent cx="6120000" cy="3067200"/>
            <wp:docPr id="77959378" name="name295467ce6dd403e50" descr="SAPE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CN_distribution_map.jpg"/>
                    <pic:cNvPicPr/>
                  </pic:nvPicPr>
                  <pic:blipFill>
                    <a:blip r:embed="rId892467ce6dd403e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Québec, Saskatchewan), United States of America (Alabama, Arkansas, Connecticut, Delaware, Florida, Georgia, Illinois, Indiana, Iowa, Kansas, Kentucky,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typically active from May to September, emerging from early April in the southern part of their range to as late as June in the north. Adults begin maturation feeding on host foliage and the bark of small twigs with mating taking place after about 10 days. Females commence ovipositing soon thereafter. Eggs are laid singly in a longitudinal slit (6 – 18 mm in length) chewed into the base of the host trunk within 25 cm of the ground. One to 6 eggs can be laid on the same tree and a single female may lay up to 15 to 30 eggs over a period of 75 days. Multiple females will oviposit on the same trunk. Eggs hatch after 15 to 22 days and the newly hatched larva begins feeding downwards in the sapwood just under the bark making a sinuous gallery, eventually creating an oval chamber where the first winter is passed. Feeding in the sapwood resumes the following spring with characteristic accumulations of red frass on the ground after being ejected from the galleries. By late summer the larva is about half grown and still feeding in the sapwood where it will spend the second winter. Feeding is completed the following summer at which time the larva bores into the heartwood to create a pupation chamber filled with frass and long wood fibres. The third winter is passed in this chamber as a quiescent final instar larva. Pupation commences the next spring and lasts about 3 weeks. The teneral adult remains in the pupal chamber for about 2 weeks before chewing its way through the bark and emerging as a fully sclerotized adult. The life cycle can be reduced to two years in the south, or extend up to four years in the north (Felt &amp; Joutel, 1904; Hess, 1940; Solomon,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Girdling damage and weakness at the base of the host trunk is symptomatic of attack, as is the accumulation of frass and wood fibres on the ground after being ejected from feeding galleries (Solomon,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elongate and flattened, about 8 mm in length and 1/3 that in width at mid-point, pale rusty-brown in colour and lacking any noticeable sculpture (Felt &amp; Joutel, 1904).</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with a brownish oblong head and a cylindrical white to yellowish-white body sparsely clothed with coarse castaneous setae, and lacking legs or terminal appendages. The pronotum is heavily chitinized anteriorly with coarse recurved asperities posteriorly (Craighead, 1923). Maximum length up to 38 mm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Pupa similar to larva but with a few small chitinous points on the head and body and with coarse setae grouped on the pronotum, mesonotum, in a V-shaped group on the metanotum, and as dense transverse rows across the abdominal terga (Craighead, 1923).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10 to 25 mm in length, with antennae slightly longer than the length of the body. Dorsally light brown to black with two distinct longitudinal white stripes extending from the head down the length of the body to the apex of the elytra (Evans, 2014). The white stripes are sometimes interrupted on the elytra near the middle. The antennae and legs are covered with greyish pubescence while the underside of the body is clothed with white pubescence.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the larvae feed internally on the lower stems and trunks of host material makes detection difficult. Careful inspection of stems near ground level can reveal longitudinal oviposition scars on the bark. The presence of brown to dark brown sap stains and areas of depressed bark as well as reddish frass ejected from cracks and holes in the bark are a sure sign of infestation by this pest. The presence of 5 to 6 mm diameter circular holes in the bark indicates successful emergence of adult beetles. Trees with trunks broken off near the ground level should be inspected for boring tunnels, frass and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not strong fliers and females typically oviposit close to the trees from which they have emerged. However, some beetles have been reported to fly up to several hundred metres before ovipositing (Hess, 1940). Plants for planting (with roots)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other hosts, as well as round wood (including firewood) of host plants with bark are potential pathways to transport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attacks healthy trees and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one of the most damaging pests to young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trees in North America. Trees from 3 to 10 years of age are the most at risk. The presence of only a few larvae in a small stem can cause enough damage to completely girdle the trunk and result in the death of the tree. Improved pest management techniques by the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greatly reduced the impact of this insect in commercial orchards.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Wrapping the lower portion of the trunk with a protective layer of material will prevent oviposition by females. Larvae can be mechanically killed by inserting a hooked wire into their galleries through a window cut into the bark. This works best for young larvae that are tunnelling in the sapwood near the bark surface but is less effective for older larvae that have galleries extending into the heartwood. Chemical options may be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 species such as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grown widely across the EPPO region in climatic zones that are similar to zones in North America where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is present. Other hosts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widely planted in the EPPO region as ornamentals in parks and gardens and also occur in the wild which could support populations of this insect. With suitable host material and climate,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poses a very real risk of establishing and spreading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the introduction or movement of infested host material, in particular live plants for planting is the best measure to protect the EPPO region from this pest. Suggested phytosanitary measures are specified in the EPPO PRA (EPPO, 2021). Countries may require that plants for planting have been produced in pest-free areas, or in pest-free places of production surrounded by a buffer zone, or in insect proof facilities. Round wood with bark of host plants may be treated (heat treatment, fumigation, irradiation), debarked, or stored for 1 year in the country of origin before being exported and visually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Bouchard P, Davies AE &amp; Sikes DS (2013) Checklist of beetles (Coleoptera) of Canada and Alaska (revised second edition). Pensoft Series Faunistica No. 109, Sofia, Bulgaria, 402 pp.</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Laplante S, Hammond HEJ &amp; Langor DW (2017) Cerambycidae (Coleoptera) of Canada and Alaska: identification guide with nomenclatural, taxonomic, distributional, host-plant, and ecological data. Nakladatelství Jan Farkač, Prague, Czech Republic, 300 pp. </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FC (1923) North American Cerambycid larvae – a classification and the biology of North American cerambycid larvae. </w:t>
      </w:r>
      <w:r>
        <w:rPr>
          <w:rFonts w:ascii="Calibri" w:hAnsi="Calibri" w:eastAsia="Calibri" w:cs="Calibri"/>
          <w:i/>
          <w:iCs/>
          <w:color w:val="000000"/>
          <w:sz w:val="22"/>
          <w:szCs w:val="22"/>
        </w:rPr>
        <w:t xml:space="preserve">Canada Department of Agriculture,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(n.s.). Ottawa, Canada, 239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6 pp. Available online: </w:t>
      </w:r>
      <w:hyperlink r:id="rId406567ce6dd40463f" w:history="1">
        <w:r>
          <w:rPr>
            <w:rFonts w:ascii="Calibri" w:hAnsi="Calibri" w:eastAsia="Calibri" w:cs="Calibri"/>
            <w:color w:val="0000CC"/>
            <w:sz w:val="22"/>
            <w:szCs w:val="22"/>
            <w:u w:val="single"/>
          </w:rPr>
          <w:t xml:space="preserve">https://gd.eppo.int/taxon/SAPECN/documents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AV (2014) Beetles of Eastern North America. Princeton University Press, Princeton, NJ, USA, 560 pp. </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Joutel LH (1904) Monograph of the genus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Bulletin 74, New York State Museum. University of the State of New York, Albany, NY, USA,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Hess AD (1940) The biology and control of the round-headed apple-tree borer, </w:t>
      </w:r>
      <w:r>
        <w:rPr>
          <w:rFonts w:ascii="Calibri" w:hAnsi="Calibri" w:eastAsia="Calibri" w:cs="Calibri"/>
          <w:i/>
          <w:iCs/>
          <w:color w:val="000000"/>
          <w:sz w:val="22"/>
          <w:szCs w:val="22"/>
        </w:rPr>
        <w:t xml:space="preserve">Saperda candida </w:t>
      </w:r>
      <w:r>
        <w:rPr>
          <w:rFonts w:ascii="Calibri" w:hAnsi="Calibri" w:eastAsia="Calibri" w:cs="Calibri"/>
          <w:color w:val="000000"/>
          <w:sz w:val="22"/>
          <w:szCs w:val="22"/>
        </w:rPr>
        <w:t xml:space="preserve">Fabricius. Bulletin 688, New York State Agricultural Experiment Station, Ithaca, NY, USA, 93 pp.</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(1995) The Cerambycidae of North America, Part VII, No. 2: Taxonomy and classification of the subfamily Lamiinae, Tribes Acanthocinini through Hemilophini. University of California Publications in Entomology 114,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University of California Publications in Entomology 117, 1-534.</w:t>
      </w:r>
    </w:p>
    <w:p>
      <w:pPr>
        <w:widowControl w:val="on"/>
        <w:pBdr/>
        <w:spacing w:before="220" w:after="220" w:line="240" w:lineRule="auto"/>
        <w:ind w:left="0" w:right="0"/>
        <w:jc w:val="left"/>
      </w:pPr>
      <w:r>
        <w:rPr>
          <w:rFonts w:ascii="Calibri" w:hAnsi="Calibri" w:eastAsia="Calibri" w:cs="Calibri"/>
          <w:color w:val="000000"/>
          <w:sz w:val="22"/>
          <w:szCs w:val="22"/>
        </w:rPr>
        <w:t xml:space="preserve">Nolte O &amp; Krieger D (2008) [Detection of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Fabricius 1787 on Fehmarn - another colonizing introduced beetle species in Central Europe]. </w:t>
      </w:r>
      <w:r>
        <w:rPr>
          <w:rFonts w:ascii="Calibri" w:hAnsi="Calibri" w:eastAsia="Calibri" w:cs="Calibri"/>
          <w:i/>
          <w:iCs/>
          <w:color w:val="000000"/>
          <w:sz w:val="22"/>
          <w:szCs w:val="22"/>
        </w:rPr>
        <w:t xml:space="preserve">DGaaE Nachrichten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133-136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Agriculture Handbook 706. United States Department of Agriculture, Forest Service, Washington DC, USA,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Vlasak J &amp; Vlasakova K (2002) Records of Cerambycidae (Coleoptera) in Massachusetts with notes on larval hosts.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Bruce D. Gill.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EPPO datasheets on pests recommended for regulation. Available online. </w:t>
      </w:r>
      <w:hyperlink r:id="rId393867ce6dd4048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8337930" name="name983467ce6dd4049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2467ce6dd4049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005476">
    <w:multiLevelType w:val="hybridMultilevel"/>
    <w:lvl w:ilvl="0" w:tplc="63383669">
      <w:start w:val="1"/>
      <w:numFmt w:val="decimal"/>
      <w:lvlText w:val="%1."/>
      <w:lvlJc w:val="left"/>
      <w:pPr>
        <w:ind w:left="720" w:hanging="360"/>
      </w:pPr>
    </w:lvl>
    <w:lvl w:ilvl="1" w:tplc="63383669" w:tentative="1">
      <w:start w:val="1"/>
      <w:numFmt w:val="lowerLetter"/>
      <w:lvlText w:val="%2."/>
      <w:lvlJc w:val="left"/>
      <w:pPr>
        <w:ind w:left="1440" w:hanging="360"/>
      </w:pPr>
    </w:lvl>
    <w:lvl w:ilvl="2" w:tplc="63383669" w:tentative="1">
      <w:start w:val="1"/>
      <w:numFmt w:val="lowerRoman"/>
      <w:lvlText w:val="%3."/>
      <w:lvlJc w:val="right"/>
      <w:pPr>
        <w:ind w:left="2160" w:hanging="180"/>
      </w:pPr>
    </w:lvl>
    <w:lvl w:ilvl="3" w:tplc="63383669" w:tentative="1">
      <w:start w:val="1"/>
      <w:numFmt w:val="decimal"/>
      <w:lvlText w:val="%4."/>
      <w:lvlJc w:val="left"/>
      <w:pPr>
        <w:ind w:left="2880" w:hanging="360"/>
      </w:pPr>
    </w:lvl>
    <w:lvl w:ilvl="4" w:tplc="63383669" w:tentative="1">
      <w:start w:val="1"/>
      <w:numFmt w:val="lowerLetter"/>
      <w:lvlText w:val="%5."/>
      <w:lvlJc w:val="left"/>
      <w:pPr>
        <w:ind w:left="3600" w:hanging="360"/>
      </w:pPr>
    </w:lvl>
    <w:lvl w:ilvl="5" w:tplc="63383669" w:tentative="1">
      <w:start w:val="1"/>
      <w:numFmt w:val="lowerRoman"/>
      <w:lvlText w:val="%6."/>
      <w:lvlJc w:val="right"/>
      <w:pPr>
        <w:ind w:left="4320" w:hanging="180"/>
      </w:pPr>
    </w:lvl>
    <w:lvl w:ilvl="6" w:tplc="63383669" w:tentative="1">
      <w:start w:val="1"/>
      <w:numFmt w:val="decimal"/>
      <w:lvlText w:val="%7."/>
      <w:lvlJc w:val="left"/>
      <w:pPr>
        <w:ind w:left="5040" w:hanging="360"/>
      </w:pPr>
    </w:lvl>
    <w:lvl w:ilvl="7" w:tplc="63383669" w:tentative="1">
      <w:start w:val="1"/>
      <w:numFmt w:val="lowerLetter"/>
      <w:lvlText w:val="%8."/>
      <w:lvlJc w:val="left"/>
      <w:pPr>
        <w:ind w:left="5760" w:hanging="360"/>
      </w:pPr>
    </w:lvl>
    <w:lvl w:ilvl="8" w:tplc="63383669" w:tentative="1">
      <w:start w:val="1"/>
      <w:numFmt w:val="lowerRoman"/>
      <w:lvlText w:val="%9."/>
      <w:lvlJc w:val="right"/>
      <w:pPr>
        <w:ind w:left="6480" w:hanging="180"/>
      </w:pPr>
    </w:lvl>
  </w:abstractNum>
  <w:abstractNum w:abstractNumId="31005475">
    <w:multiLevelType w:val="hybridMultilevel"/>
    <w:lvl w:ilvl="0" w:tplc="518364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005475">
    <w:abstractNumId w:val="31005475"/>
  </w:num>
  <w:num w:numId="31005476">
    <w:abstractNumId w:val="310054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7057814" Type="http://schemas.microsoft.com/office/2011/relationships/commentsExtended" Target="commentsExtended.xml"/><Relationship Id="rId740813511" Type="http://schemas.microsoft.com/office/2011/relationships/people" Target="people.xml"/><Relationship Id="rId261967ce6dd402338" Type="http://schemas.openxmlformats.org/officeDocument/2006/relationships/hyperlink" Target="https://gd.eppo.int/taxon/SAPECN/" TargetMode="External"/><Relationship Id="rId728867ce6dd4023a1" Type="http://schemas.openxmlformats.org/officeDocument/2006/relationships/hyperlink" Target="https://gd.eppo.int/taxon/SAPECN/categorization" TargetMode="External"/><Relationship Id="rId870067ce6dd402bf9" Type="http://schemas.openxmlformats.org/officeDocument/2006/relationships/hyperlink" Target="https://gd.eppo.int/taxon/SAPECN/photos" TargetMode="External"/><Relationship Id="rId406567ce6dd40463f" Type="http://schemas.openxmlformats.org/officeDocument/2006/relationships/hyperlink" Target="https://gd.eppo.int/taxon/SAPECN/documents" TargetMode="External"/><Relationship Id="rId393867ce6dd4048f0" Type="http://schemas.openxmlformats.org/officeDocument/2006/relationships/hyperlink" Target="https://gd.eppo.int" TargetMode="External"/><Relationship Id="rId408267ce6dd402acb" Type="http://schemas.openxmlformats.org/officeDocument/2006/relationships/image" Target="media/imgrId408267ce6dd402acb.jpg"/><Relationship Id="rId892467ce6dd403e4d" Type="http://schemas.openxmlformats.org/officeDocument/2006/relationships/image" Target="media/imgrId892467ce6dd403e4d.jpg"/><Relationship Id="rId912467ce6dd404986" Type="http://schemas.openxmlformats.org/officeDocument/2006/relationships/image" Target="media/imgrId912467ce6dd4049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