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Sadwavirus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Sadwavirus 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Sadwavirus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Natsudaidai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Navel orange infectious mottling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sadwavirus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Oleocellosis-like symptoms of Satsuma orange, Summer orange dwarf, dwarf disease of satsuma</w:t>
            </w:r>
            <w:hyperlink r:id="rId682867ce641fe47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2767ce641fe479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SDV000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189179" name="name882967ce641fe4fe0" descr="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6.jpg"/>
                          <pic:cNvPicPr/>
                        </pic:nvPicPr>
                        <pic:blipFill>
                          <a:blip r:embed="rId440567ce641fe4fdf" cstate="print"/>
                          <a:stretch>
                            <a:fillRect/>
                          </a:stretch>
                        </pic:blipFill>
                        <pic:spPr>
                          <a:xfrm>
                            <a:off x="0" y="0"/>
                            <a:ext cx="2160000" cy="1281600"/>
                          </a:xfrm>
                          <a:prstGeom prst="rect">
                            <a:avLst/>
                          </a:prstGeom>
                          <a:ln w="0">
                            <a:noFill/>
                          </a:ln>
                        </pic:spPr>
                      </pic:pic>
                    </a:graphicData>
                  </a:graphic>
                </wp:inline>
              </w:drawing>
            </w:r>
            <w:hyperlink r:id="rId180667ce641fe50f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(SDV) is a positive-sense single-stranded RNA (+ssRNA) virus with a bipartite genome encapsidated in polyhedral virions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reference sequences of the genomic RNAs 1 and 2 of SDV are available in GenBank (NC_003785.2 and NC_003786.2, respectively)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virus was initially associated with a severe disease of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(Usugi and Saito, 1979). Viruses identified in other hosts and/or associated with different symptoms, initially named differently [i.e. citrus mosaic virus (CiMV) (Iwamani and Ieki, 1996), navel orange infectious mottling virus (NIMV) (Iwamani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natsudaidai dwarf virus (NDV) (Tanaka, 1972) and hyuganatsu virus (HV)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share over 75% amino acid sequence identity with SDV and do not fulfil the species demarcation criteria established for members of the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They are thus considered to be strains of SDV (Le Gall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Iwanami,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unique species in the subgenus </w:t>
      </w:r>
      <w:r>
        <w:rPr>
          <w:rFonts w:ascii="Calibri" w:hAnsi="Calibri" w:eastAsia="Calibri" w:cs="Calibri"/>
          <w:i/>
          <w:iCs/>
          <w:color w:val="000000"/>
          <w:sz w:val="22"/>
          <w:szCs w:val="22"/>
        </w:rPr>
        <w:t xml:space="preserve">Satsumaviru</w:t>
      </w:r>
      <w:r>
        <w:rPr>
          <w:rFonts w:ascii="Calibri" w:hAnsi="Calibri" w:eastAsia="Calibri" w:cs="Calibri"/>
          <w:color w:val="000000"/>
          <w:sz w:val="22"/>
          <w:szCs w:val="22"/>
        </w:rPr>
        <w:t xml:space="preserve">s, genus </w:t>
      </w:r>
      <w:r>
        <w:rPr>
          <w:rFonts w:ascii="Calibri" w:hAnsi="Calibri" w:eastAsia="Calibri" w:cs="Calibri"/>
          <w:i/>
          <w:iCs/>
          <w:color w:val="000000"/>
          <w:sz w:val="22"/>
          <w:szCs w:val="22"/>
        </w:rPr>
        <w:t xml:space="preserve">Sadwavirus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SDV has also been reported as citrus mosaic virus in the literature (Iwamani and Ieki, 1996), a name initially used to designate another unrelated DNA virus identified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India (Dakshinamurti and Reddy, 1975; Ahlawat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Pant and Ahlawat, 1997) which was later characterized as a badnavirus and named citrus yellow mosaic virus (Pant and Ahlawat,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on which the symptoms have most commonly been observed. However, SDV may naturally infect a range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in the family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generally inducing symptoms</w:t>
      </w:r>
      <w:r>
        <w:rPr>
          <w:rFonts w:ascii="Calibri" w:hAnsi="Calibri" w:eastAsia="Calibri" w:cs="Calibri"/>
          <w:i/>
          <w:iCs/>
          <w:color w:val="000000"/>
          <w:sz w:val="22"/>
          <w:szCs w:val="22"/>
        </w:rPr>
        <w:t xml:space="preserve">. Viburnum odoratissimum</w:t>
      </w:r>
      <w:r>
        <w:rPr>
          <w:rFonts w:ascii="Calibri" w:hAnsi="Calibri" w:eastAsia="Calibri" w:cs="Calibri"/>
          <w:color w:val="000000"/>
          <w:sz w:val="22"/>
          <w:szCs w:val="22"/>
        </w:rPr>
        <w:t xml:space="preserve"> (China laurestine, sweet viburnum), a woody plant used as hedge in satsuma orchards in Japan, and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are the only two non-rutaceous natural hosts identified so far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are symptomless hosts. The virus has been experimentally transmitted by grafting to a very broad range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hybrids (Miyakawa, 1969, Tanaka &amp; Yamada,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so that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considered as susceptible. It is thought that this will also be the case for related </w:t>
      </w:r>
      <w:r>
        <w:rPr>
          <w:rFonts w:ascii="Calibri" w:hAnsi="Calibri" w:eastAsia="Calibri" w:cs="Calibri"/>
          <w:i/>
          <w:iCs/>
          <w:color w:val="000000"/>
          <w:sz w:val="22"/>
          <w:szCs w:val="22"/>
        </w:rPr>
        <w:t xml:space="preserve">Rutaceae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spp.) (Miyakawa, 1969; Tanaka,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Iwanami, 2010). Some susceptible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latifolia, C. medica, Citrus reticulata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 paradisi </w:t>
      </w:r>
      <w:r>
        <w:rPr>
          <w:rFonts w:ascii="Calibri" w:hAnsi="Calibri" w:eastAsia="Calibri" w:cs="Calibri"/>
          <w:color w:val="000000"/>
          <w:sz w:val="22"/>
          <w:szCs w:val="22"/>
        </w:rPr>
        <w:t xml:space="preserve">cv. Orlando) may not develop obvious symptoms. Several non-</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rutaceous species were also found to be susceptible to SDV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Miyakawa,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literature is somewhat confusing, with sometimes contradictory reports, when it comes to herbaceous, non-rutaceous experimental hosts of SDV identified upon artificial mechanical inoculation. Causes for these discrepancies may include the use of different viral isolates, co-infection with other viral agents, the use of different varieties/genotypes of herbaceous hosts or differences in experimental inoculation conditions. In particular, SDV strains may vary in their experimental herbaceous host range, but most isolates are able to systemically infect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The majority of these experimental hosts have been reported in the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family, including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Outside of this family, two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have been reported as hosts (Tanaka &amp; Imada,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is present in China, Iran, Japan and the Korean peninsula. It has a restricted distribution in Turkey where it is presumed to have been introduced with budwood imported from the Far East (Onelge and Cınar, 2010). One report from Peru (IOCV website, 2017) has been retracted its author (Iwanami, 2010).</w:t>
      </w:r>
    </w:p>
    <w:p>
      <w:r>
        <w:drawing>
          <wp:inline distT="0" distB="0" distL="0" distR="0">
            <wp:extent cx="6120000" cy="3067200"/>
            <wp:docPr id="92864151" name="name153367ce641fe64df" descr="SD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V000_distribution_map.jpg"/>
                    <pic:cNvPicPr/>
                  </pic:nvPicPr>
                  <pic:blipFill>
                    <a:blip r:embed="rId579167ce641fe64d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Japan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transmitted by grafting (Ushiyama, 1981), but also mechanically under artificial conditions (Tanaka &amp; Imada, 1974; Usugi and Saito, 1979; Iwanami, 2010). Mechanical transmission does not seem to play a role in the natural spread of the virus (EFSA, 2017 and references therein). Field observations suggest that the disease is slowly transmitted from tree to tree, presumably through soil. Although no vector has been identified so far, involvement of fungi or nematodes cannot be excluded (EFSA, 2017). It is thought that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 may act as a reservoir for infection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 transmission, reported experimentally in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(kidney bean) (at a rate of 8.6%), was not observed in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in </w:t>
      </w:r>
      <w:r>
        <w:rPr>
          <w:rFonts w:ascii="Calibri" w:hAnsi="Calibri" w:eastAsia="Calibri" w:cs="Calibri"/>
          <w:i/>
          <w:iCs/>
          <w:color w:val="000000"/>
          <w:sz w:val="22"/>
          <w:szCs w:val="22"/>
        </w:rPr>
        <w:t xml:space="preserve">Sesamum indicum </w:t>
      </w:r>
      <w:r>
        <w:rPr>
          <w:rFonts w:ascii="Calibri" w:hAnsi="Calibri" w:eastAsia="Calibri" w:cs="Calibri"/>
          <w:color w:val="000000"/>
          <w:sz w:val="22"/>
          <w:szCs w:val="22"/>
        </w:rPr>
        <w:t xml:space="preserve">(white sesame) (EFSA, 2017 and references therein). Considering the natural spread pattern in the field, pollen transmission is considered unlikely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SDV typically causes dwarfing and small boat or spoon-shaped leaves. General symptoms are enations, multiple flushing, stunting or dwarfing, reduction in number and size of leaves and shoots, shortened internodes, and small-sized fruits with thick peel. Fruit production can be seriously reduced both in quality and yield (Iwanami and Koizumi,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CiMV strain is characterized by the particular symptoms it causes on fruits. On satsumas, these are green blotches or ring-shaped spots on the rind at colour break and delayed colouring of the spotted area. Fruit symptoms also appear on lemons, but not typically on oranges, although fruit quality is reduced on this host. However, some isolates do not induce symptoms on fruits of satsuma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while others have been associated with specific symptoms, i.e. CiMV with dapples on rinds of satsuma mandarin fruits, NDV with mottling and curling of new leaves of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NIMV with chlorotic spots on navel oranges, and HV with brown growth rings on hyuganatsu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Severity of symptoms has also been correlated with low temperature environmental conditions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Some host plants are known to be symptomless (e.g.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an isometric virus approximately 26 nm in diameter, with particles containing two capsid proteins with a molecular weight of about 42 and 22-23 kilodaltons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1993b). The virions encapsulate the two genomic RNAs (RNA1 and RNA2) of respectively about 7.0 kb and 5.4 kb. Both RNAs have a poly(A) sequence at their 3' end. For more information on characteristics of SDV, see Usugi and Saito (1977,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allow the detection of symptoms but is not considered reliable enough since symptoms are not highly specific and are not always obvious in infected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White sesame is the best herbaceous indicator plant for detecting SDV through biological assays based on mechanical inoculation of homogenates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(EPPO, 1998;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Blackeye cowpea, 'Satisfaction' kidney bean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can also be effectively used as indicators (Tanaka and Kishi, 1963;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Bioassays can also rely on graft inoculation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indicator seedlings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sour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Dweet tangor,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satsuma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(EPPO, 1998) however the possible interference of citrus tristeza virus, if present in the plants to be tested, must be considered (Roistacher, 2004). SDV, including the CiMV strain, can be detected by ELISA using polyclonal antibodies produced against SDV and extracts from young tender leaves from the spring flush (Usugi &amp; Tsuchizaki, 1982; Koizuimi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ELISA is extremely helpful in large-scale detection. However, it should not be used as the only method for the testing of mother trees because it sometimes gives false negative results, in particular with some strains of SDV. ELISA can be used in conjunction with mechanical transmission to white sesame or with other method(s) to ensure that important budwood or mother trees are free from SDV. ELISA with monoclonal antibodies can be used to distinguish the CiMV strain from other SDV strains (Nozu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Reliable molecular tests, based on reverse-transcriptase polymerase chain reaction (RT-PCR) (Iwamani, 2010), multiplex RT-PCR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QuantiGene Plex-Luminex-based test (Dang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available to detect SDV alone or in mixed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mode of spread since SDV is readily transmitted by grafting. SDV may also move locally, probably through soil with the possible contribution of unidentified vector(s) (Isoda &amp; Gyoutoku, 1990). In international trade, SDV is most likely to be carried in infected propagation material, but soil should also be considered as a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satsuma mandarin infected by SDV are generally stunted, with reduced yield. Fruits on trees severely affected by the CiMV strain are of poor quality and low commercial value. Detailed data on yield losses caused by SDV are not available. However, a field infection rate of 31% has been reported in Turkey (Çınar and Önelge, 2010), showing the potential for severe impact on satsuma mandarin and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appears to be the development and use of SDV-free propagation material, as described in EPPO Standard PM 4/12 </w:t>
      </w:r>
      <w:r>
        <w:rPr>
          <w:rFonts w:ascii="Calibri" w:hAnsi="Calibri" w:eastAsia="Calibri" w:cs="Calibri"/>
          <w:i/>
          <w:iCs/>
          <w:color w:val="000000"/>
          <w:sz w:val="22"/>
          <w:szCs w:val="22"/>
        </w:rPr>
        <w:t xml:space="preserve">Pathogen-tested citrus trees and rootstocks</w:t>
      </w:r>
      <w:r>
        <w:rPr>
          <w:rFonts w:ascii="Calibri" w:hAnsi="Calibri" w:eastAsia="Calibri" w:cs="Calibri"/>
          <w:color w:val="000000"/>
          <w:sz w:val="22"/>
          <w:szCs w:val="22"/>
        </w:rPr>
        <w:t xml:space="preserve"> (EPPO, 1998). No control measures are known in the field, besides the destruction of infected plants. Though field observation suggests the transmission of SDV through soil, soil fumigation is not effective to control disease progression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groves (Isoda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compared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Satsumas are not widely grown in the EPPO region. In Turkey, where satsumas are grown in the Aegean region, the virus has only been reported on this species and does not appear to have spread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or to other regions of Turkey, or elsewhere in the EPPO region. Even if no vector is known, SDV natural infection has already been reported from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elsewhere in the world, in particular for CiMV, NIMV, NDV and HV; most Citrus species have been experimentally shown to be susceptible. There are no ecoclimatic constraints for SDV affecting establishment, except those affecting its hosts;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 occurs widely in the Mediterranean part of Europe (EFSA, 2017). It was therefore considered justified by EPPO to prevent further spread of SDV and, in particular, introduction of new strains from the Far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rutaceous hosts, as well as the natural non rutaceous hosts of SDV into the EPPO region could require that these plants are produced in a pest free area, in a pest free place/site of production (e.g.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or shown to be free from SDV by appropriate diagnostic methods. A number of EPPO countries already ban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and their hybrids (other than fruits and seeds) (EU, 2019).</w:t>
      </w:r>
    </w:p>
    <w:p>
      <w:pPr>
        <w:widowControl w:val="on"/>
        <w:pBdr/>
        <w:spacing w:before="220" w:after="220" w:line="240" w:lineRule="auto"/>
        <w:ind w:left="0" w:right="0"/>
        <w:jc w:val="left"/>
      </w:pPr>
      <w:r>
        <w:rPr>
          <w:rFonts w:ascii="Calibri" w:hAnsi="Calibri" w:eastAsia="Calibri" w:cs="Calibri"/>
          <w:color w:val="000000"/>
          <w:sz w:val="22"/>
          <w:szCs w:val="22"/>
        </w:rPr>
        <w:t xml:space="preserve">SDV already occurs in the EPPO region (i.e. in Turkey). So, within the EPPO region,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planting material should be certified free from SDV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Ahlawat YS, Chenulu VV, Viswanath SM, Pandey PK &amp; Bhagabati KN (1985) Mosaic disease of citrus in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873-874.</w:t>
      </w:r>
    </w:p>
    <w:p>
      <w:pPr>
        <w:widowControl w:val="on"/>
        <w:pBdr/>
        <w:spacing w:before="220" w:after="220" w:line="240" w:lineRule="auto"/>
        <w:ind w:left="0" w:right="0"/>
        <w:jc w:val="left"/>
      </w:pPr>
      <w:r>
        <w:rPr>
          <w:rFonts w:ascii="Calibri" w:hAnsi="Calibri" w:eastAsia="Calibri" w:cs="Calibri"/>
          <w:color w:val="000000"/>
          <w:sz w:val="22"/>
          <w:szCs w:val="22"/>
        </w:rPr>
        <w:t xml:space="preserve">Çınar A &amp; Önelge N (2010) Virus and virus-like diseases in turkey citriculture. In </w:t>
      </w:r>
      <w:r>
        <w:rPr>
          <w:rFonts w:ascii="Calibri" w:hAnsi="Calibri" w:eastAsia="Calibri" w:cs="Calibri"/>
          <w:i/>
          <w:iCs/>
          <w:color w:val="000000"/>
          <w:sz w:val="22"/>
          <w:szCs w:val="22"/>
        </w:rPr>
        <w:t xml:space="preserve">Proc. 20 th Conf. IOCV.</w:t>
      </w:r>
      <w:r>
        <w:rPr>
          <w:rFonts w:ascii="Calibri" w:hAnsi="Calibri" w:eastAsia="Calibri" w:cs="Calibri"/>
          <w:color w:val="000000"/>
          <w:sz w:val="22"/>
          <w:szCs w:val="22"/>
        </w:rPr>
        <w:t xml:space="preserve"> IOCV, Riverside (CA). pp. 233–236. </w:t>
      </w:r>
      <w:hyperlink r:id="rId599567ce641fe704e" w:history="1">
        <w:r>
          <w:rPr>
            <w:rFonts w:ascii="Calibri" w:hAnsi="Calibri" w:eastAsia="Calibri" w:cs="Calibri"/>
            <w:color w:val="0000CC"/>
            <w:sz w:val="22"/>
            <w:szCs w:val="22"/>
            <w:u w:val="single"/>
          </w:rPr>
          <w:t xml:space="preserve">https://escholarship.org/uc/item/0bn1239x</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Dakshinamurti V &amp; Reddy GS (1975) Mosaic - a transmissible disorder of sweet oranges.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398-399.</w:t>
      </w:r>
    </w:p>
    <w:p>
      <w:pPr>
        <w:widowControl w:val="on"/>
        <w:pBdr/>
        <w:spacing w:before="220" w:after="220" w:line="240" w:lineRule="auto"/>
        <w:ind w:left="0" w:right="0"/>
        <w:jc w:val="left"/>
      </w:pPr>
      <w:r>
        <w:rPr>
          <w:rFonts w:ascii="Calibri" w:hAnsi="Calibri" w:eastAsia="Calibri" w:cs="Calibri"/>
          <w:color w:val="000000"/>
          <w:sz w:val="22"/>
          <w:szCs w:val="22"/>
        </w:rPr>
        <w:t xml:space="preserve">Dang T, Ramirez B, Osman F, Bodahi S &amp; Vidalakis G (2016) QuantiGene Plex: A non-PCR, high throughput, multiplex detection assay for citrus pathogens. Abstract of the 20th Conference of the International Organization of Citrus Virologists, Chongqing (CN) </w:t>
      </w:r>
      <w:hyperlink r:id="rId471567ce641fe70f1" w:history="1">
        <w:r>
          <w:rPr>
            <w:rFonts w:ascii="Calibri" w:hAnsi="Calibri" w:eastAsia="Calibri" w:cs="Calibri"/>
            <w:color w:val="0000CC"/>
            <w:sz w:val="22"/>
            <w:szCs w:val="22"/>
            <w:u w:val="single"/>
          </w:rPr>
          <w:t xml:space="preserve">https://escholarship.org/uc/item/12c1x3hz</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Dehnen-Schmutz K, Gilioli G, Gregoire J-C, Jaques Miret JA, MacLeod A, Navajas Navarro M, Niere B, Parnell S, Potting R, Rafoss T, Rossi V, Urek G, Van Bruggen A, Van der Werf W, West J, Chatzivassiliou E, Winter S, Catara A, Duran-Vila N, Hollo G &amp; Candresse T (2017) Scientific Opinion on the pest categorization of Satsuma dwarf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20 pp. </w:t>
      </w:r>
      <w:hyperlink r:id="rId406067ce641fe718a" w:history="1">
        <w:r>
          <w:rPr>
            <w:rFonts w:ascii="Calibri" w:hAnsi="Calibri" w:eastAsia="Calibri" w:cs="Calibri"/>
            <w:color w:val="0000CC"/>
            <w:sz w:val="22"/>
            <w:szCs w:val="22"/>
            <w:u w:val="single"/>
          </w:rPr>
          <w:t xml:space="preserve">https://doi.org/10.2903/j.efsa.201d7.5032</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EPPO Standard PM4/12(1) Pathogen-tested citrus trees and rootstocks. </w:t>
      </w:r>
      <w:r>
        <w:rPr>
          <w:rFonts w:ascii="Calibri" w:hAnsi="Calibri" w:eastAsia="Calibri" w:cs="Calibri"/>
          <w:i/>
          <w:iCs/>
          <w:color w:val="000000"/>
          <w:sz w:val="22"/>
          <w:szCs w:val="22"/>
        </w:rPr>
        <w:t xml:space="preserve">EPPO Bulletin (1995)</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Edited as an EPPO Standard in 1998. Available at </w:t>
      </w:r>
      <w:hyperlink r:id="rId668767ce641fe720c" w:history="1">
        <w:r>
          <w:rPr>
            <w:rFonts w:ascii="Calibri" w:hAnsi="Calibri" w:eastAsia="Calibri" w:cs="Calibri"/>
            <w:color w:val="0000CC"/>
            <w:sz w:val="22"/>
            <w:szCs w:val="22"/>
            <w:u w:val="single"/>
          </w:rPr>
          <w:t xml:space="preserve">https://gd.eppo.int/download/standard/91/pm4-012-1-en.pdf</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706367ce641fe7280"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&amp; Jung KE (2017) Development of multiplex PCR for simultaneous detection of citrus viruses and the incidence of citrus viral diseases in late-maturity citrus trees in Jeju Island.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307.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&amp; Gyoutoku Y (1990) Studies on citrus virus diseases. VII. Propagation of satsuma dwarf virus to adjacent trees in a citrus orchard.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Gyoutoku Y &amp; Yamada K (1991) Studies on citrus virus diseases. VIII. Post-measure of orchard attacked by satsuma dwarf virus.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Iwanami T, Ieki H, Shimomura K, Shimizu S &amp; Ito T (2004) A new virus related to Satsuma dwarf virus: nucleotide sequence of the 3’-terminal regions of Hyuganatsu virus RNAs 1 and 2.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1459–1465.</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Ieki H (1996) Nucleotide sequence of the coat protein genes of citrus mosaic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Koizumi M (2000) Satsuma dwarf virus group. In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(eds Timmer LV, Gansey SM &amp; Graham JH), pp. 59. APS,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(2010) Properties and control of Satsuma dwarf virus.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Koizumi M &amp; Ieki H (1993b) Diversity of properties among satsuma dwarf virus and related viruses.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642-650.</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&amp; Karasev AV (1999) Nucleotide sequences and taxonomy of satsuma dwarf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793-797.</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Makita Y, Azeyanagi C &amp; Ieki H (1998) The nucleotide sequence of the coat protein genes of satsuma dwarf virus and navel orange infectious mottling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(2), 405-412.</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Omura M &amp; Ieki H (1993a) Susceptibility of several citrus relatives to Satsuma dwarf virus. In</w:t>
      </w:r>
      <w:r>
        <w:rPr>
          <w:rFonts w:ascii="Calibri" w:hAnsi="Calibri" w:eastAsia="Calibri" w:cs="Calibri"/>
          <w:i/>
          <w:iCs/>
          <w:color w:val="000000"/>
          <w:sz w:val="22"/>
          <w:szCs w:val="22"/>
        </w:rPr>
        <w:t xml:space="preserve"> Proc. 12th IOCV</w:t>
      </w:r>
      <w:r>
        <w:rPr>
          <w:rFonts w:ascii="Calibri" w:hAnsi="Calibri" w:eastAsia="Calibri" w:cs="Calibri"/>
          <w:color w:val="000000"/>
          <w:sz w:val="22"/>
          <w:szCs w:val="22"/>
        </w:rPr>
        <w:t xml:space="preserve"> (eds Moreno P, da Graca JV &amp; Timmer LW), pp. 352–356,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H, Tanaka H, Yamada S &amp; Kishi K (1972) Influence of temperature on the development of leaf symptoms of satsuma dwarf disease, pp. 76–79, </w:t>
      </w:r>
      <w:r>
        <w:rPr>
          <w:rFonts w:ascii="Calibri" w:hAnsi="Calibri" w:eastAsia="Calibri" w:cs="Calibri"/>
          <w:i/>
          <w:iCs/>
          <w:color w:val="000000"/>
          <w:sz w:val="22"/>
          <w:szCs w:val="22"/>
        </w:rPr>
        <w:t xml:space="preserve">IOCV Proceedings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Kano T, Ieki H &amp; Mae H (1988) China laurestine: a symptomless carrier of Satsuma dwarf virus which accelerates natural transmission in fields. In </w:t>
      </w:r>
      <w:r>
        <w:rPr>
          <w:rFonts w:ascii="Calibri" w:hAnsi="Calibri" w:eastAsia="Calibri" w:cs="Calibri"/>
          <w:i/>
          <w:iCs/>
          <w:color w:val="000000"/>
          <w:sz w:val="22"/>
          <w:szCs w:val="22"/>
        </w:rPr>
        <w:t xml:space="preserve">Proc. 10th IOCV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Timmer LW, Garnsey SM &amp; Navarro L), pp. 348–352,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Le Gall O, Sanfaçon H, Ikegami M, Jones T, Karasev A, Lehto K, Wellink J, Wetzel T &amp; Yoshikawa N (2007) Cheravirus and Sadwavirus: two unassigned genera of plant positive-sense single-stranded RNA viruses formerly considered atypical members of the genus Nepovirus (family Comoviridae).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1767–1774.</w:t>
      </w:r>
    </w:p>
    <w:p>
      <w:pPr>
        <w:widowControl w:val="on"/>
        <w:pBdr/>
        <w:spacing w:before="220" w:after="220" w:line="240" w:lineRule="auto"/>
        <w:ind w:left="0" w:right="0"/>
        <w:jc w:val="left"/>
      </w:pPr>
      <w:r>
        <w:rPr>
          <w:rFonts w:ascii="Calibri" w:hAnsi="Calibri" w:eastAsia="Calibri" w:cs="Calibri"/>
          <w:color w:val="000000"/>
          <w:sz w:val="22"/>
          <w:szCs w:val="22"/>
        </w:rPr>
        <w:t xml:space="preserve">Miyakawa T (1969) Susceptibility of Citrus spp. and the other related plants to the Satsuma Dwarf Virus (SDV).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Nakazono-Nagaoka E, Takemoto S, Fujikawa T, Nakajima K, Uenishi H &amp; Iwanami T (2014) Natural Satsuma dwarf virus infection of two woody plants, Daphniphyllum teijsmannii Zoll. ex Kurz. and Viburnum odoratissimum Ker-Gaul. var. awabuki (K. Koch) Zabel near Citrus Fields.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419–424.</w:t>
      </w:r>
    </w:p>
    <w:p>
      <w:pPr>
        <w:widowControl w:val="on"/>
        <w:pBdr/>
        <w:spacing w:before="220" w:after="220" w:line="240" w:lineRule="auto"/>
        <w:ind w:left="0" w:right="0"/>
        <w:jc w:val="left"/>
      </w:pPr>
      <w:r>
        <w:rPr>
          <w:rFonts w:ascii="Calibri" w:hAnsi="Calibri" w:eastAsia="Calibri" w:cs="Calibri"/>
          <w:color w:val="000000"/>
          <w:sz w:val="22"/>
          <w:szCs w:val="22"/>
        </w:rPr>
        <w:t xml:space="preserve">Nozu Y, Usugi T &amp; Nishimori K (1986) Production of monoclonal antibodies to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86-89.</w:t>
      </w:r>
    </w:p>
    <w:p>
      <w:pPr>
        <w:widowControl w:val="on"/>
        <w:pBdr/>
        <w:spacing w:before="220" w:after="220" w:line="240" w:lineRule="auto"/>
        <w:ind w:left="0" w:right="0"/>
        <w:jc w:val="left"/>
      </w:pPr>
      <w:r>
        <w:rPr>
          <w:rFonts w:ascii="Calibri" w:hAnsi="Calibri" w:eastAsia="Calibri" w:cs="Calibri"/>
          <w:color w:val="000000"/>
          <w:sz w:val="22"/>
          <w:szCs w:val="22"/>
        </w:rPr>
        <w:t xml:space="preserve">Pant RP &amp; Ahlawat YS (1997) Partial characterisation of citrus mosaic virus.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557-564.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(2004) Diagnosis and management of virus and virus like diseases of citrus. In </w:t>
      </w:r>
      <w:r>
        <w:rPr>
          <w:rFonts w:ascii="Calibri" w:hAnsi="Calibri" w:eastAsia="Calibri" w:cs="Calibri"/>
          <w:i/>
          <w:iCs/>
          <w:color w:val="000000"/>
          <w:sz w:val="22"/>
          <w:szCs w:val="22"/>
        </w:rPr>
        <w:t xml:space="preserve">Diseases of Fruits and Vegetables</w:t>
      </w:r>
      <w:r>
        <w:rPr>
          <w:rFonts w:ascii="Calibri" w:hAnsi="Calibri" w:eastAsia="Calibri" w:cs="Calibri"/>
          <w:color w:val="000000"/>
          <w:sz w:val="22"/>
          <w:szCs w:val="22"/>
        </w:rPr>
        <w:t xml:space="preserve"> Volume I, pp. 109–189,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&amp; Kishi K (1963) Studies on indicator plants for citrus viruses. Mechanical inoculation on leguminous plants with sap from satsuma dwarf tree.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262–269.</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Kishi K &amp; Yamada A (1965) Research on the Indicator Plants of Satsuma dwarf and Hassaku dwarf viruses. </w:t>
      </w:r>
      <w:r>
        <w:rPr>
          <w:rFonts w:ascii="Calibri" w:hAnsi="Calibri" w:eastAsia="Calibri" w:cs="Calibri"/>
          <w:i/>
          <w:iCs/>
          <w:color w:val="000000"/>
          <w:sz w:val="22"/>
          <w:szCs w:val="22"/>
        </w:rPr>
        <w:t xml:space="preserve">Proceedings of the IOCV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260-267.</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(1972) Mechanical transmission of viruses of satsuma dwarf and natsudaidai dwarf from citrus to citrus.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156-160.</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&amp; Imada J (1974) Mechanical transmission of viruses of satsuma dwarf, citrus mosaic, navel infectious mottling and natsudaidai dwarf to herbaceous plants. In </w:t>
      </w:r>
      <w:r>
        <w:rPr>
          <w:rFonts w:ascii="Calibri" w:hAnsi="Calibri" w:eastAsia="Calibri" w:cs="Calibri"/>
          <w:i/>
          <w:iCs/>
          <w:color w:val="000000"/>
          <w:sz w:val="22"/>
          <w:szCs w:val="22"/>
        </w:rPr>
        <w:t xml:space="preserve">Proceedings of the 6th Conference of the International Organization of Citrus Virologists </w:t>
      </w:r>
      <w:r>
        <w:rPr>
          <w:rFonts w:ascii="Calibri" w:hAnsi="Calibri" w:eastAsia="Calibri" w:cs="Calibri"/>
          <w:color w:val="000000"/>
          <w:sz w:val="22"/>
          <w:szCs w:val="22"/>
        </w:rPr>
        <w:t xml:space="preserve">(eds Weathers &amp; LG Cohen M), pp. 141-145. University of California, Riverside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(1981) Studies on satsuma dwarf disease. II. Spread of the disease by topworking satsuma trees with infected scions. </w:t>
      </w:r>
      <w:r>
        <w:rPr>
          <w:rFonts w:ascii="Calibri" w:hAnsi="Calibri" w:eastAsia="Calibri" w:cs="Calibri"/>
          <w:i/>
          <w:iCs/>
          <w:color w:val="000000"/>
          <w:sz w:val="22"/>
          <w:szCs w:val="22"/>
        </w:rPr>
        <w:t xml:space="preserve">Bulletin of the Kanagawa Horticultural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24-30.</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(1977) Some properties of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(1979) Citrus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208.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Tsuchizaki T (1982) Detection of citrus mosaic virus by enzyme-linked immunosorbent assay.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updated in 2022 by Drs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Sadwavirus citri</w:t>
      </w:r>
      <w:r>
        <w:rPr>
          <w:rFonts w:ascii="Calibri" w:hAnsi="Calibri" w:eastAsia="Calibri" w:cs="Calibri"/>
          <w:color w:val="000000"/>
          <w:sz w:val="22"/>
          <w:szCs w:val="22"/>
        </w:rPr>
        <w:t xml:space="preserve">. EPPO datasheets on pests recommended for regulation. Available online. </w:t>
      </w:r>
      <w:hyperlink r:id="rId361167ce641fe7ca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8845074" name="name311367ce641fe7d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9667ce641fe7db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692649">
    <w:multiLevelType w:val="hybridMultilevel"/>
    <w:lvl w:ilvl="0" w:tplc="22661815">
      <w:start w:val="1"/>
      <w:numFmt w:val="decimal"/>
      <w:lvlText w:val="%1."/>
      <w:lvlJc w:val="left"/>
      <w:pPr>
        <w:ind w:left="720" w:hanging="360"/>
      </w:pPr>
    </w:lvl>
    <w:lvl w:ilvl="1" w:tplc="22661815" w:tentative="1">
      <w:start w:val="1"/>
      <w:numFmt w:val="lowerLetter"/>
      <w:lvlText w:val="%2."/>
      <w:lvlJc w:val="left"/>
      <w:pPr>
        <w:ind w:left="1440" w:hanging="360"/>
      </w:pPr>
    </w:lvl>
    <w:lvl w:ilvl="2" w:tplc="22661815" w:tentative="1">
      <w:start w:val="1"/>
      <w:numFmt w:val="lowerRoman"/>
      <w:lvlText w:val="%3."/>
      <w:lvlJc w:val="right"/>
      <w:pPr>
        <w:ind w:left="2160" w:hanging="180"/>
      </w:pPr>
    </w:lvl>
    <w:lvl w:ilvl="3" w:tplc="22661815" w:tentative="1">
      <w:start w:val="1"/>
      <w:numFmt w:val="decimal"/>
      <w:lvlText w:val="%4."/>
      <w:lvlJc w:val="left"/>
      <w:pPr>
        <w:ind w:left="2880" w:hanging="360"/>
      </w:pPr>
    </w:lvl>
    <w:lvl w:ilvl="4" w:tplc="22661815" w:tentative="1">
      <w:start w:val="1"/>
      <w:numFmt w:val="lowerLetter"/>
      <w:lvlText w:val="%5."/>
      <w:lvlJc w:val="left"/>
      <w:pPr>
        <w:ind w:left="3600" w:hanging="360"/>
      </w:pPr>
    </w:lvl>
    <w:lvl w:ilvl="5" w:tplc="22661815" w:tentative="1">
      <w:start w:val="1"/>
      <w:numFmt w:val="lowerRoman"/>
      <w:lvlText w:val="%6."/>
      <w:lvlJc w:val="right"/>
      <w:pPr>
        <w:ind w:left="4320" w:hanging="180"/>
      </w:pPr>
    </w:lvl>
    <w:lvl w:ilvl="6" w:tplc="22661815" w:tentative="1">
      <w:start w:val="1"/>
      <w:numFmt w:val="decimal"/>
      <w:lvlText w:val="%7."/>
      <w:lvlJc w:val="left"/>
      <w:pPr>
        <w:ind w:left="5040" w:hanging="360"/>
      </w:pPr>
    </w:lvl>
    <w:lvl w:ilvl="7" w:tplc="22661815" w:tentative="1">
      <w:start w:val="1"/>
      <w:numFmt w:val="lowerLetter"/>
      <w:lvlText w:val="%8."/>
      <w:lvlJc w:val="left"/>
      <w:pPr>
        <w:ind w:left="5760" w:hanging="360"/>
      </w:pPr>
    </w:lvl>
    <w:lvl w:ilvl="8" w:tplc="22661815" w:tentative="1">
      <w:start w:val="1"/>
      <w:numFmt w:val="lowerRoman"/>
      <w:lvlText w:val="%9."/>
      <w:lvlJc w:val="right"/>
      <w:pPr>
        <w:ind w:left="6480" w:hanging="180"/>
      </w:pPr>
    </w:lvl>
  </w:abstractNum>
  <w:abstractNum w:abstractNumId="60692648">
    <w:multiLevelType w:val="hybridMultilevel"/>
    <w:lvl w:ilvl="0" w:tplc="114305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692648">
    <w:abstractNumId w:val="60692648"/>
  </w:num>
  <w:num w:numId="60692649">
    <w:abstractNumId w:val="606926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0258656" Type="http://schemas.microsoft.com/office/2011/relationships/commentsExtended" Target="commentsExtended.xml"/><Relationship Id="rId290319614" Type="http://schemas.microsoft.com/office/2011/relationships/people" Target="people.xml"/><Relationship Id="rId682867ce641fe4733" Type="http://schemas.openxmlformats.org/officeDocument/2006/relationships/hyperlink" Target="https://gd.eppo.int/taxon/SDV000/" TargetMode="External"/><Relationship Id="rId362767ce641fe479e" Type="http://schemas.openxmlformats.org/officeDocument/2006/relationships/hyperlink" Target="https://gd.eppo.int/taxon/SDV000/categorization" TargetMode="External"/><Relationship Id="rId180667ce641fe50f3" Type="http://schemas.openxmlformats.org/officeDocument/2006/relationships/hyperlink" Target="https://gd.eppo.int/taxon/SDV000/photos" TargetMode="External"/><Relationship Id="rId599567ce641fe704e" Type="http://schemas.openxmlformats.org/officeDocument/2006/relationships/hyperlink" Target="https://escholarship.org/uc/item/0bn1239x" TargetMode="External"/><Relationship Id="rId471567ce641fe70f1" Type="http://schemas.openxmlformats.org/officeDocument/2006/relationships/hyperlink" Target="https://escholarship.org/uc/item/12c1x3hz" TargetMode="External"/><Relationship Id="rId406067ce641fe718a" Type="http://schemas.openxmlformats.org/officeDocument/2006/relationships/hyperlink" Target="https://doi.org/10.2903/j.efsa.201d7.5032" TargetMode="External"/><Relationship Id="rId668767ce641fe720c" Type="http://schemas.openxmlformats.org/officeDocument/2006/relationships/hyperlink" Target="https://gd.eppo.int/download/standard/91/pm4-012-1-en.pdf" TargetMode="External"/><Relationship Id="rId706367ce641fe7280" Type="http://schemas.openxmlformats.org/officeDocument/2006/relationships/hyperlink" Target="https://gd.eppo.int/standards/PM5/" TargetMode="External"/><Relationship Id="rId361167ce641fe7caf" Type="http://schemas.openxmlformats.org/officeDocument/2006/relationships/hyperlink" Target="https://gd.eppo.int" TargetMode="External"/><Relationship Id="rId440567ce641fe4fdf" Type="http://schemas.openxmlformats.org/officeDocument/2006/relationships/image" Target="media/imgrId440567ce641fe4fdf.jpg"/><Relationship Id="rId579167ce641fe64dc" Type="http://schemas.openxmlformats.org/officeDocument/2006/relationships/image" Target="media/imgrId579167ce641fe64dc.jpg"/><Relationship Id="rId419667ce641fe7dbd" Type="http://schemas.openxmlformats.org/officeDocument/2006/relationships/image" Target="media/imgrId419667ce641fe7db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