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littoralis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littoralis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(Boisduval)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Hadena littoralis</w:t>
            </w:r>
            <w:r>
              <w:rPr>
                <w:rFonts w:ascii="Calibri" w:hAnsi="Calibri" w:eastAsia="Calibri" w:cs="Calibri"/>
                <w:color w:val="000000"/>
                <w:position w:val="-3"/>
                <w:sz w:val="22"/>
                <w:szCs w:val="22"/>
              </w:rPr>
              <w:t xml:space="preserve"> Boisduval, </w:t>
            </w:r>
            <w:r>
              <w:rPr>
                <w:rFonts w:ascii="Calibri" w:hAnsi="Calibri" w:eastAsia="Calibri" w:cs="Calibri"/>
                <w:i/>
                <w:iCs/>
                <w:color w:val="000000"/>
                <w:position w:val="-3"/>
                <w:sz w:val="22"/>
                <w:szCs w:val="22"/>
              </w:rPr>
              <w:t xml:space="preserve">Prodenia littoralis</w:t>
            </w:r>
            <w:r>
              <w:rPr>
                <w:rFonts w:ascii="Calibri" w:hAnsi="Calibri" w:eastAsia="Calibri" w:cs="Calibri"/>
                <w:color w:val="000000"/>
                <w:position w:val="-3"/>
                <w:sz w:val="22"/>
                <w:szCs w:val="22"/>
              </w:rPr>
              <w:t xml:space="preserve"> (Boisduval)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Egyptian cotton leafworm, Egyptian cotton worm, Mediterranean brocade moth, Mediterranean climbing cutworm, cotton leafworm, tobacco cutworm</w:t>
            </w:r>
            <w:hyperlink r:id="rId37596685016cf19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8256685016cf19e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SPODLI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343487" name="name50476685016cf20fa" descr="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jpg"/>
                          <pic:cNvPicPr/>
                        </pic:nvPicPr>
                        <pic:blipFill>
                          <a:blip r:embed="rId93416685016cf20f8" cstate="print"/>
                          <a:stretch>
                            <a:fillRect/>
                          </a:stretch>
                        </pic:blipFill>
                        <pic:spPr>
                          <a:xfrm>
                            <a:off x="0" y="0"/>
                            <a:ext cx="2160000" cy="1281600"/>
                          </a:xfrm>
                          <a:prstGeom prst="rect">
                            <a:avLst/>
                          </a:prstGeom>
                          <a:ln w="0">
                            <a:noFill/>
                          </a:ln>
                        </pic:spPr>
                      </pic:pic>
                    </a:graphicData>
                  </a:graphic>
                </wp:inline>
              </w:drawing>
            </w:r>
            <w:hyperlink r:id="rId54936685016cf22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were regarded as the same species under the name </w:t>
      </w:r>
      <w:r>
        <w:rPr>
          <w:rFonts w:ascii="Calibri" w:hAnsi="Calibri" w:eastAsia="Calibri" w:cs="Calibri"/>
          <w:i/>
          <w:iCs/>
          <w:color w:val="000000"/>
          <w:sz w:val="22"/>
          <w:szCs w:val="22"/>
        </w:rPr>
        <w:t xml:space="preserve">Prodenia litura </w:t>
      </w:r>
      <w:r>
        <w:rPr>
          <w:rFonts w:ascii="Calibri" w:hAnsi="Calibri" w:eastAsia="Calibri" w:cs="Calibri"/>
          <w:color w:val="000000"/>
          <w:sz w:val="22"/>
          <w:szCs w:val="22"/>
        </w:rPr>
        <w:t xml:space="preserve">Fabricius. Viette (1962) reviewed the species and suggested that there are two separate species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litura.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a highly polyphagous species (Prasad, &amp; Bhattacharya, 1975; Brown &amp; Dewhurst, 1975; Holloway, 1989). Host plants belonging to more than 40 families have been reported, including at least 87 species of economic importance (Salama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Among the main crops attacked by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are cotton, groundnut, jute</w:t>
      </w:r>
      <w:r>
        <w:rPr>
          <w:rFonts w:ascii="Calibri" w:hAnsi="Calibri" w:eastAsia="Calibri" w:cs="Calibri"/>
          <w:color w:val="000000"/>
          <w:sz w:val="22"/>
          <w:szCs w:val="22"/>
        </w:rPr>
        <w:t xml:space="preserve">, lucerne, maize, rice, soybean, vegetables (aubergine, </w:t>
      </w:r>
      <w:r>
        <w:rPr>
          <w:rFonts w:ascii="Calibri" w:hAnsi="Calibri" w:eastAsia="Calibri" w:cs="Calibri"/>
          <w:i/>
          <w:iCs/>
          <w:color w:val="000000"/>
          <w:sz w:val="22"/>
          <w:szCs w:val="22"/>
        </w:rPr>
        <w:t xml:space="preserve">Brassica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cucurbitaceous vegetables,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potato, sweet potato,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etc.). Other hosts include ornamentals, wild plants and weeds. In most of the EPPO region, outdoor crops are not likely to be attacked, so the principal potential hosts are vegetables and ornamentals under glasshouses. In the south of the EPPO region, cotton, maize, lucerne, soybean,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vegetables are hosts for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sesban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nilotica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is present in Africa, Southern Europe and the Middle East. Its native range is considered to be sub-Saharan Africa (Lopez-Vaamonde, 2008). It is now common in the Middle East and the Mediterranean basin, including countries in Southern Europe. Transient populations may occur in Northern Europe (Coquempot and Ramel, 2008).</w:t>
      </w:r>
    </w:p>
    <w:p>
      <w:r>
        <w:drawing>
          <wp:inline distT="0" distB="0" distL="0" distR="0">
            <wp:extent cx="6120000" cy="3067200"/>
            <wp:docPr id="49317886" name="name57546685016cf3963" descr="SPODL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DLI_distribution_map.jpg"/>
                    <pic:cNvPicPr/>
                  </pic:nvPicPr>
                  <pic:blipFill>
                    <a:blip r:embed="rId23396685016cf39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Cyprus, France (mainland), Greece (mainland, Kriti), Israel, Italy (mainland, Sicilia), Jordan, Malta, Morocco, Portugal (mainland, Azores, Madeira),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Central African Republic, Chad, Comoros, Congo, Congo, Democratic republic of the, Cote d'Ivoire, Egypt, Equatorial Guinea, Eritrea, Eswatini, Ethiopia, Gambia, Ghana, Guinea, Guinea-Bissau, Kenya, Libya, Madagascar, Malawi, Mali, Mauritania, Mauritius, Morocco, Mozambique, Namibia, Niger, Nigeria, Reunion, Rwanda, Saint Helena, Sao Tome &amp; Principe, Senegal, Seychelles, Sierra Leone, Somalia,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Iran, Iraq, Israel, Jordan, Lebanon, Oman, Saudi Arabia, Syria,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females are ready to mate immediately after emergence. Oviposition starts between 2 and 5 days after emergence, and female lay more than 3000 eggs in egg masses of 20-350 on the lower leaf surface of the host plant (El-Sayes, 1977; El-Malki, 2000).  The masses are covered by hair-like scales from the end of the insect's abdomen.  The oviposition period lasts from 5 to 7 days at 22.5-27.5°C. Newly laid eggs of one strain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were reported to survive exposure to 1°C for 8 days. Partially developed eggs survived longer exposures than newly laid ones under equivalent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about 9 days at 17.5°C and in just 2 days at 32.5°C. The larvae pass through six instars in 15-23 days at 25-26°C. At lower temperatures, for example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on glasshouse chrysanthemums in Europe, larvae often go through an extra instar, and maturation may take up to 3 months. The young larvae (first to third instar) feed in groups, leaving the opposite epidermis of the leaf intact. Later, the (4th to 6th instar) larvae disperse and spend the day in the ground under the host plant, feeding at night and early in the morning.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period is spent in earthen cells in the soil and lasts about 11-13 days at 25°C. Longevity of adults is about 4-10 days, being reduced by high temperature and low humidity. Thus, the life cycle can be completed in about 5 weeks. Up to eight generations have been reported in warm areas and at least 2 in Southern Europe (Vasilaina-Alexopoulou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No diapause has been reported. Adults live in the field 5-10 days.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thresholds and thermal requirements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have been specified by El-Malki (2000) and Yones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have been used for forecasting phenology in the field and time applied control measures. Dispersal of up to 8 km per generation is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Bishara (1934), Salama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Cayrol (1972), Nasr (1973), Baker &amp; Miller (1974), El-Malki (2000), Ellis 2004, Yones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Ismail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crops, damage arises from extensive feeding by larvae, leading to complete stripping of the plants. On cotton, leaves are heavily attacked, and bolls have large holes in them from which yellowish-green to dark-green larval excrement protrudes. On maize, the stems are often mined and young grains in the ear may be injured.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descriptions and illustrations of the different stages are given in the EPPO Diagnostic protocol PM 7/124 (EPPO,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Spherical, somewhat flattened, (width x height is approximately 0.45 mm x 0.35 mm). Eggs are laid in batches of 20 to over 350 eggs per batch and are usually covered with hair scales from the tip of the abdomen of the female moth. They are usually whitish-yellow and become black close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larvae are 1-2.5 mm long and mature larva are 40-45 mm in length; head width up to 2.9 mm; Typically, older larvae have a Y-shape on head/thorax shield; variable in colour (brown to greenish) </w:t>
      </w:r>
    </w:p>
    <w:p>
      <w:pPr>
        <w:widowControl w:val="on"/>
        <w:pBdr/>
        <w:spacing w:before="220" w:after="220" w:line="240" w:lineRule="auto"/>
        <w:ind w:left="0" w:right="0"/>
        <w:jc w:val="both"/>
      </w:pPr>
      <w:r>
        <w:rPr>
          <w:rFonts w:ascii="Calibri" w:hAnsi="Calibri" w:eastAsia="Calibri" w:cs="Calibri"/>
          <w:color w:val="000000"/>
          <w:sz w:val="22"/>
          <w:szCs w:val="22"/>
        </w:rPr>
        <w:t xml:space="preserve">In late instars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small yellow to white dots are present at the base of the black patches on the second and third thoracic segment. Other conspicuous features are the dark patches on the dorsum, most prominently on abdominal segments 1 and 8.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brown about 15-20 mm long, with a cremaster of two spines of about 0.5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grey-brown body, 15-20 mm long; forewings in males 12-16 mm long and 13-16 mm long in females. The forewings are grey to reddish-brown with a strongly variegated pattern and paler lines along the veins; the hindwings are greyish-white with grey margins, without dark veins. There is a reniform spot light brown outlined in white which because of its triangular shape appears to be a titled letter ‘A’;</w:t>
      </w:r>
    </w:p>
    <w:p>
      <w:pPr>
        <w:widowControl w:val="on"/>
        <w:pBdr/>
        <w:spacing w:before="220" w:after="220" w:line="240" w:lineRule="auto"/>
        <w:ind w:left="0" w:right="0"/>
        <w:jc w:val="both"/>
      </w:pPr>
      <w:r>
        <w:rPr>
          <w:rFonts w:ascii="Calibri" w:hAnsi="Calibri" w:eastAsia="Calibri" w:cs="Calibri"/>
          <w:color w:val="000000"/>
          <w:sz w:val="22"/>
          <w:szCs w:val="22"/>
        </w:rPr>
        <w:t xml:space="preserve">On dissection of the genitalia, ductus bursae is short (length less than twice the width) and completely sclerotized in female. Male genitalia with juxta quadrate with two ventrolateral projections; ampulla is elongate and curved.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description of pupal and larval stages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see Mochida (1973). See also Cayrol (1972), Brown &amp; Dewhurst (1975), Pogue (2002) and Gilligan &amp; Passoa (2014).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Tests for molecular identification are described in the EPPO Diagnostic protocol PM 7/124 (EPPO,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be used for the detection of adults and are the primary method for detecting Lepidoptera species. All developmental stages can be visually detected on a host plant or commodity apart from pupae since larvae will mostly pupate in the soil. Methods are available for identification of adults or larvae detected on a plant or commodity. Further details for inspection of places of production for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EPPO Standard PM 3/85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have a flight range of 1.5 km during a period of 4 h overnight, facilitating dispersion and oviposition on different hosts (Salama &amp; Shoukry, 1972). They can accordingly fly quite long distances. However, spread in cooler regions would be limited by the short lifespan of adults (EFSA 2015). In international trade, eggs or larvae may be present on planting material, cut flowers or vegetables. Interceptions in EU suggest that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more commonly found on flowers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fresh herbs (mint, basil).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has been trapped outside its normal range in Europe (Hachler, 1986), presumably as a result of entry on imported commodities or as a result of migratory flight from Southern Europe (EFSA,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one of the most destructive agricultural lepidopterous pests within its subtropical and tropical range. It can attack numerous economically important crops all year-round. On cotton, the pest may cause considerable damage by feeding on the leaves, fruiting points, flower buds and also on bolls. Defoliation (of 20–70% of the leaf area) on cotton by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larvae can result in 50% reduction in yield (Russel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When groundnuts are infested, larvae select primarily the young folded leaves for feeding but, in severe infestations, leaves of any age are stripped off. Sometimes, the ripening kernels in the pods in the soil may be attacked. Pods of cowpeas and the seeds they contain are also often badly damaged. In tomatoes, larvae bore into the fruit which is thus rendered unsuitable for consumption. Numerous other crops are also attacked, mainly on their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damage due to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was minimal until about 1937. In 1949, there was a catastrophic larval population explosion in Southern Spain. The main crops affected were lucerne, potatoes and other vegetable crops. At present, this noctuid is of great economic importance in Cyprus, Israel, Malta, Morocco and Spain (but not in the north of Spain, e.g. Cataluña). In Italy, it is especially important on protected crops of ornamentals and vegetables (Inserra &amp; Calabretta, 1985; Nucifora, 1985; Sannino, 2003). In Greece,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used to cause slight damage in Crete on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only and it is currently a frequent pest in southern Greece causing damage to lucerne, potatoes and grass lawns. </w:t>
      </w:r>
      <w:r>
        <w:rPr>
          <w:rFonts w:ascii="Calibri" w:hAnsi="Calibri" w:eastAsia="Calibri" w:cs="Calibri"/>
          <w:color w:val="000000"/>
          <w:sz w:val="22"/>
          <w:szCs w:val="22"/>
        </w:rPr>
        <w:t xml:space="preserve">Recently, outdoor damage has been reported in France on several crops such as mint,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lettuce and chard (Coquempot &amp; Ramel, 2008; Fredon Corse,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cotton, an economic threshold of 10 000 egg masses /ha was considered reliable and practical for scheduling pesticide intervention (Hosny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Development of insecticide resistance against various classes of insecticides has been reported for field populations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it is recommended to base management strategies on rotation of applied insecticides with different modes of action (Issa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Sawicki, 1986; Elghar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Temerak, 2002). An attract and kill methodology based on the sex pheromone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λ-cyhalothrin was experimentally tested but without success in controlling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infestations (Downham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 species have been recorded from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eggs and larva that contribute to its natural control (Gerling, 1971; Depalo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Hatem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Vojtech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Agbodzavu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Application of commercial products that rely 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is common in regions where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is present (Navon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Magholifard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use of entomopathogenic fungi, entomopathogenic nematodes and a specific nucleopolyhedrovirus which is commercially available are used in the field for controlling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infestations (Sutanto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Sobhy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Resquín-Romero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such as cotton, maize, soybean etc. have been genetically modified to express insecticidal proteins derived from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and have been used against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larvae (Vojtech,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Various plant extracts have shown promising efficacy against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larvae (Moawad &amp; Sadek, 2018). In the past, mass trapping has been tested for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(Campion &amp; Nesbitt, 1982).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is present in the EPPO region in the Mediterranean countries. Being a polyphagous pest, it can be associated with several plant commodities and further introduced and spread in the rest of the EPPO region. However, this pest cannot successfully overwinter in northern areas, therefore, establishment is not expected, outside of greenhouses, beyond of its current distribution range. Dispersal by flight and presence of outbreaks in Northern Europe have been reported in the past and may occasionally occur (EFSA,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could further be introduced and spread into the EPPO region through international trade. Phytosanitary measures may include cultivation of plants for planting in pest free areas or pest free sites of production and inspection of commodities prior to export. </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measures used for cut flowers include cold storage e.g. for chrysanthemum and carnation cuttings. Cold storage for at least 10 days at a temperature not exceeding 1.7°C kills all stages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but may damage the plants. Storage at slightly higher temperatures or shorter durations does not eradicate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but differences in response to cold have been observed both between strains and within developmental stages of the pest (Powell &amp; Gostick, 1971; Miller, 1976). Irradiation has been investigated as a treatment for cut flowers (Navon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Abd-El-Ghar MR, Nassar ME, Riskalla MR &amp; Abd-El-Ghafar SF (1986) Rate of development of resistance and pattern of cross-resistance in fenvalerate and decamethrin-resistant strains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Research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Agbodzavu MK, Lagat ZO, Gikungu M, Rwomushana I, Ekesi S &amp; Fiaboe KKM (2018) Performance of the newly identified endoparasitoid </w:t>
      </w:r>
      <w:r>
        <w:rPr>
          <w:rFonts w:ascii="Calibri" w:hAnsi="Calibri" w:eastAsia="Calibri" w:cs="Calibri"/>
          <w:i/>
          <w:iCs/>
          <w:color w:val="000000"/>
          <w:sz w:val="22"/>
          <w:szCs w:val="22"/>
        </w:rPr>
        <w:t xml:space="preserve">Cotesia icipe</w:t>
      </w:r>
      <w:r>
        <w:rPr>
          <w:rFonts w:ascii="Calibri" w:hAnsi="Calibri" w:eastAsia="Calibri" w:cs="Calibri"/>
          <w:color w:val="000000"/>
          <w:sz w:val="22"/>
          <w:szCs w:val="22"/>
        </w:rPr>
        <w:t xml:space="preserve"> Fernandez-Triana &amp; Fiaboe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(7), 646–653.</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CRB &amp; Miller GW (1974) Some effects of temperature and larval food on the development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495-511.</w:t>
      </w:r>
    </w:p>
    <w:p>
      <w:pPr>
        <w:widowControl w:val="on"/>
        <w:pBdr/>
        <w:spacing w:before="220" w:after="220" w:line="240" w:lineRule="auto"/>
        <w:ind w:left="0" w:right="0"/>
        <w:jc w:val="left"/>
      </w:pPr>
      <w:r>
        <w:rPr>
          <w:rFonts w:ascii="Calibri" w:hAnsi="Calibri" w:eastAsia="Calibri" w:cs="Calibri"/>
          <w:color w:val="000000"/>
          <w:sz w:val="22"/>
          <w:szCs w:val="22"/>
        </w:rPr>
        <w:t xml:space="preserve">Bishara I (1934) The cotton worm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 in Egypt.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223-404.</w:t>
      </w:r>
    </w:p>
    <w:p>
      <w:pPr>
        <w:widowControl w:val="on"/>
        <w:pBdr/>
        <w:spacing w:before="220" w:after="220" w:line="240" w:lineRule="auto"/>
        <w:ind w:left="0" w:right="0"/>
        <w:jc w:val="left"/>
      </w:pPr>
      <w:r>
        <w:rPr>
          <w:rFonts w:ascii="Calibri" w:hAnsi="Calibri" w:eastAsia="Calibri" w:cs="Calibri"/>
          <w:color w:val="000000"/>
          <w:sz w:val="22"/>
          <w:szCs w:val="22"/>
        </w:rPr>
        <w:t xml:space="preserve">Britz CJ, Van den Berg H &amp; Du Plessis (2020) Susceptibility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(Lepidoptera: Noctuidae) to Bt Cotton, expressing Cry1Ac and Cry2Ab toxins,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182-186.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 </w:t>
      </w:r>
      <w:r>
        <w:rPr>
          <w:rFonts w:ascii="Calibri" w:hAnsi="Calibri" w:eastAsia="Calibri" w:cs="Calibri"/>
          <w:color w:val="000000"/>
          <w:sz w:val="22"/>
          <w:szCs w:val="22"/>
        </w:rPr>
        <w:t xml:space="preserve">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Campion DG &amp; Nesbitt F (1982) Recent advances in the use of pheromones in developing countries with particular reference to mass-trapping for the control of the Egyptian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mating disruption for the control of pink bollworm </w:t>
      </w:r>
      <w:r>
        <w:rPr>
          <w:rFonts w:ascii="Calibri" w:hAnsi="Calibri" w:eastAsia="Calibri" w:cs="Calibri"/>
          <w:i/>
          <w:iCs/>
          <w:color w:val="000000"/>
          <w:sz w:val="22"/>
          <w:szCs w:val="22"/>
        </w:rPr>
        <w:t xml:space="preserve">Pectinophora gossypiella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Les médiateurs chimiques agissant sur le comportement des insectes</w:t>
      </w:r>
      <w:r>
        <w:rPr>
          <w:rFonts w:ascii="Calibri" w:hAnsi="Calibri" w:eastAsia="Calibri" w:cs="Calibri"/>
          <w:color w:val="000000"/>
          <w:sz w:val="22"/>
          <w:szCs w:val="22"/>
        </w:rPr>
        <w:t xml:space="preserve">, pp. 335-342.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Cayrol RA (1972) Famille des Noctuidae. In: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AS Balachowsky), vol.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pp. 1411-1423. Masson,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Coquempot C &amp; Ramel J-M (2008) La noctuelle africaine du coton en voie de sédentarisation en France?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Depalo L, Marchetti E, Baronio P, Martini A, &amp;Dindo ML (2010) Location, acceptance and suitability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Galleria mellonella</w:t>
      </w:r>
      <w:r>
        <w:rPr>
          <w:rFonts w:ascii="Calibri" w:hAnsi="Calibri" w:eastAsia="Calibri" w:cs="Calibri"/>
          <w:color w:val="000000"/>
          <w:sz w:val="22"/>
          <w:szCs w:val="22"/>
        </w:rPr>
        <w:t xml:space="preserve"> as hosts for the parasitoid </w:t>
      </w:r>
      <w:r>
        <w:rPr>
          <w:rFonts w:ascii="Calibri" w:hAnsi="Calibri" w:eastAsia="Calibri" w:cs="Calibri"/>
          <w:i/>
          <w:iCs/>
          <w:color w:val="000000"/>
          <w:sz w:val="22"/>
          <w:szCs w:val="22"/>
        </w:rPr>
        <w:t xml:space="preserve">Exorista larvarum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Downham MCA, McVeigh LJ &amp; Moawad GM (1995) Field investigation of an attracticide control technique using the sex pheromone of the Egyptian cotton leafworm,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Bulletin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463–472.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(2015) Scientific Opinion on the pest categorisation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(1):3987, 26 pp. </w:t>
      </w:r>
      <w:hyperlink r:id="rId17706685016d00b51" w:history="1">
        <w:r>
          <w:rPr>
            <w:rFonts w:ascii="Calibri" w:hAnsi="Calibri" w:eastAsia="Calibri" w:cs="Calibri"/>
            <w:color w:val="0000CC"/>
            <w:sz w:val="22"/>
            <w:szCs w:val="22"/>
            <w:u w:val="single"/>
          </w:rPr>
          <w:t xml:space="preserve">https://doi.org/10.2903/j.efsa.2015.3987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Elghar GEA, Elbermawy ZA, Yousef AG &amp; Elhady HKA (2005) Monitoring and characterization of insecticide resistance in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397–410.</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 (2004) New Pest Response Guidelines: Spodoptera, Usda/Aphis/PPQ/PDMP.</w:t>
      </w:r>
    </w:p>
    <w:p>
      <w:pPr>
        <w:widowControl w:val="on"/>
        <w:pBdr/>
        <w:spacing w:before="220" w:after="220" w:line="240" w:lineRule="auto"/>
        <w:ind w:left="0" w:right="0"/>
        <w:jc w:val="left"/>
      </w:pPr>
      <w:r>
        <w:rPr>
          <w:rFonts w:ascii="Calibri" w:hAnsi="Calibri" w:eastAsia="Calibri" w:cs="Calibri"/>
          <w:color w:val="000000"/>
          <w:sz w:val="22"/>
          <w:szCs w:val="22"/>
        </w:rPr>
        <w:t xml:space="preserve">El-Malki KG (2000) Thermal requirements and prediction models of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Proceedings 2 1019-1021. AGR:IND23235690.</w:t>
      </w:r>
    </w:p>
    <w:p>
      <w:pPr>
        <w:widowControl w:val="on"/>
        <w:pBdr/>
        <w:spacing w:before="220" w:after="220" w:line="240" w:lineRule="auto"/>
        <w:ind w:left="0" w:right="0"/>
        <w:jc w:val="left"/>
      </w:pPr>
      <w:r>
        <w:rPr>
          <w:rFonts w:ascii="Calibri" w:hAnsi="Calibri" w:eastAsia="Calibri" w:cs="Calibri"/>
          <w:color w:val="000000"/>
          <w:sz w:val="22"/>
          <w:szCs w:val="22"/>
        </w:rPr>
        <w:t xml:space="preserve">El-Sayes MS (1977) Courtship behavior and copulation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Zoologische Beiträge</w:t>
      </w:r>
      <w:r>
        <w:rPr>
          <w:rFonts w:ascii="Calibri" w:hAnsi="Calibri" w:eastAsia="Calibri" w:cs="Calibri"/>
          <w:color w:val="000000"/>
          <w:sz w:val="22"/>
          <w:szCs w:val="22"/>
        </w:rPr>
        <w:t xml:space="preserve"> (New Ser.)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121-131.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Fredon Corse, (2014) La noctuelle méditerranéenne. </w:t>
      </w:r>
      <w:hyperlink r:id="rId18226685016d00df7" w:history="1">
        <w:r>
          <w:rPr>
            <w:rFonts w:ascii="Calibri" w:hAnsi="Calibri" w:eastAsia="Calibri" w:cs="Calibri"/>
            <w:color w:val="0000CC"/>
            <w:sz w:val="22"/>
            <w:szCs w:val="22"/>
            <w:u w:val="single"/>
          </w:rPr>
          <w:t xml:space="preserve">http://www.fredon-corse.com/ravageurs/Noctuelle_mediterraneenne.htm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Gerling D (1971) Occurrence, abundance and efficiency of some local parasitoids attacking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in selected cotton fields in Israel. </w:t>
      </w:r>
      <w:r>
        <w:rPr>
          <w:rFonts w:ascii="Calibri" w:hAnsi="Calibri" w:eastAsia="Calibri" w:cs="Calibri"/>
          <w:i/>
          <w:iCs/>
          <w:color w:val="000000"/>
          <w:sz w:val="22"/>
          <w:szCs w:val="22"/>
        </w:rPr>
        <w:t xml:space="preserve">Annals of  the Entomological </w:t>
      </w:r>
      <w:r>
        <w:rPr>
          <w:rFonts w:ascii="Calibri" w:hAnsi="Calibri" w:eastAsia="Calibri" w:cs="Calibri"/>
          <w:i/>
          <w:iCs/>
          <w:color w:val="000000"/>
          <w:sz w:val="22"/>
          <w:szCs w:val="22"/>
        </w:rPr>
        <w:t xml:space="preserve">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492–499.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[accessed at www.lepintercept.org].</w:t>
      </w:r>
    </w:p>
    <w:p>
      <w:pPr>
        <w:widowControl w:val="on"/>
        <w:pBdr/>
        <w:spacing w:before="220" w:after="220" w:line="240" w:lineRule="auto"/>
        <w:ind w:left="0" w:right="0"/>
        <w:jc w:val="left"/>
      </w:pPr>
      <w:r>
        <w:rPr>
          <w:rFonts w:ascii="Calibri" w:hAnsi="Calibri" w:eastAsia="Calibri" w:cs="Calibri"/>
          <w:color w:val="000000"/>
          <w:sz w:val="22"/>
          <w:szCs w:val="22"/>
        </w:rPr>
        <w:t xml:space="preserve">Hachler M (1986) [Notes on three pests of subtropical ornamental plants captured in western Switzerland]. </w:t>
      </w:r>
      <w:r>
        <w:rPr>
          <w:rFonts w:ascii="Calibri" w:hAnsi="Calibri" w:eastAsia="Calibri" w:cs="Calibri"/>
          <w:i/>
          <w:iCs/>
          <w:color w:val="000000"/>
          <w:sz w:val="22"/>
          <w:szCs w:val="22"/>
        </w:rPr>
        <w:t xml:space="preserve">Mitteilungen der Schweizerischen Entomologischen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Hatem A, Shawer D &amp; Vargas-Osuna E (2016) Parasitism and optimization of </w:t>
      </w:r>
      <w:r>
        <w:rPr>
          <w:rFonts w:ascii="Calibri" w:hAnsi="Calibri" w:eastAsia="Calibri" w:cs="Calibri"/>
          <w:i/>
          <w:iCs/>
          <w:color w:val="000000"/>
          <w:sz w:val="22"/>
          <w:szCs w:val="22"/>
        </w:rPr>
        <w:t xml:space="preserve">Hyposoter didymator</w:t>
      </w:r>
      <w:r>
        <w:rPr>
          <w:rFonts w:ascii="Calibri" w:hAnsi="Calibri" w:eastAsia="Calibri" w:cs="Calibri"/>
          <w:color w:val="000000"/>
          <w:sz w:val="22"/>
          <w:szCs w:val="22"/>
        </w:rPr>
        <w:t xml:space="preserve"> (Hymenoptera: Ichneumonidae) rearing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1058–1063. </w:t>
      </w:r>
      <w:hyperlink r:id="rId43476685016d00fc8" w:history="1"/>
    </w:p>
    <w:p>
      <w:pPr>
        <w:widowControl w:val="on"/>
        <w:pBdr/>
        <w:spacing w:before="220" w:after="220" w:line="240" w:lineRule="auto"/>
        <w:ind w:left="0" w:right="0"/>
        <w:jc w:val="left"/>
      </w:pPr>
      <w:r>
        <w:rPr>
          <w:rFonts w:ascii="Calibri" w:hAnsi="Calibri" w:eastAsia="Calibri" w:cs="Calibri"/>
          <w:color w:val="000000"/>
          <w:sz w:val="22"/>
          <w:szCs w:val="22"/>
        </w:rPr>
        <w:t xml:space="preserve">Holloway JD (1989) The moths of Borneo: Family Noctuidae, trifine subfamilies: Noctuinae, Heliothinae, Hadeninae, Acronictinae, Amphipyrinae, Agaristinae. </w:t>
      </w:r>
      <w:r>
        <w:rPr>
          <w:rFonts w:ascii="Calibri" w:hAnsi="Calibri" w:eastAsia="Calibri" w:cs="Calibri"/>
          <w:i/>
          <w:iCs/>
          <w:color w:val="000000"/>
          <w:sz w:val="22"/>
          <w:szCs w:val="22"/>
        </w:rPr>
        <w:t xml:space="preserve">Malayan Nature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57-226.</w:t>
      </w:r>
    </w:p>
    <w:p>
      <w:pPr>
        <w:widowControl w:val="on"/>
        <w:pBdr/>
        <w:spacing w:before="220" w:after="220" w:line="240" w:lineRule="auto"/>
        <w:ind w:left="0" w:right="0"/>
        <w:jc w:val="left"/>
      </w:pPr>
      <w:r>
        <w:rPr>
          <w:rFonts w:ascii="Calibri" w:hAnsi="Calibri" w:eastAsia="Calibri" w:cs="Calibri"/>
          <w:color w:val="000000"/>
          <w:sz w:val="22"/>
          <w:szCs w:val="22"/>
        </w:rPr>
        <w:t xml:space="preserve">Hosny MM, Topper CP, Moawad GM &amp; El-Saadany GB (1986) Economic damage thresholds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on cotton in Egypt.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100–104. </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&amp; Calabretta C (1985) [Attack by noctuids: a recurring problem in greenhouse crops of the Ragusa coast]. </w:t>
      </w:r>
      <w:r>
        <w:rPr>
          <w:rFonts w:ascii="Calibri" w:hAnsi="Calibri" w:eastAsia="Calibri" w:cs="Calibri"/>
          <w:i/>
          <w:iCs/>
          <w:color w:val="000000"/>
          <w:sz w:val="22"/>
          <w:szCs w:val="22"/>
        </w:rPr>
        <w:t xml:space="preserve">Tecnica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283-297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Ismail SM (2020) Biological and biochemical impacts of temperature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w:t>
      </w:r>
      <w:r>
        <w:rPr>
          <w:rFonts w:ascii="Calibri" w:hAnsi="Calibri" w:eastAsia="Calibri" w:cs="Calibri"/>
          <w:i/>
          <w:iCs/>
          <w:color w:val="000000"/>
          <w:sz w:val="22"/>
          <w:szCs w:val="22"/>
        </w:rPr>
        <w:t xml:space="preserve">International Journal of Advanced Biological and Biomedical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20-27.</w:t>
      </w:r>
    </w:p>
    <w:p>
      <w:pPr>
        <w:widowControl w:val="on"/>
        <w:pBdr/>
        <w:spacing w:before="220" w:after="220" w:line="240" w:lineRule="auto"/>
        <w:ind w:left="0" w:right="0"/>
        <w:jc w:val="left"/>
      </w:pPr>
      <w:r>
        <w:rPr>
          <w:rFonts w:ascii="Calibri" w:hAnsi="Calibri" w:eastAsia="Calibri" w:cs="Calibri"/>
          <w:color w:val="000000"/>
          <w:sz w:val="22"/>
          <w:szCs w:val="22"/>
        </w:rPr>
        <w:t xml:space="preserve">Issa YH, Keddis ME, Abdel-Sattar MA, Ayad FA &amp; El-Guindy MA (1984a) Survey of resistance to organophosphorus insecticides in field strains of the cotton leafworm during 1980-1984 cotton-growing seasons. </w:t>
      </w:r>
      <w:r>
        <w:rPr>
          <w:rFonts w:ascii="Calibri" w:hAnsi="Calibri" w:eastAsia="Calibri" w:cs="Calibri"/>
          <w:i/>
          <w:iCs/>
          <w:color w:val="000000"/>
          <w:sz w:val="22"/>
          <w:szCs w:val="22"/>
        </w:rPr>
        <w:t xml:space="preserve">Bulletin of the Entomological Society of Egypt, Economic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Issa YH, Keddis ME, Abdel-Sattar MA, Ayad FA &amp; El-Guindy MA (1984b) Survey of resistance to pyrethroids in field strains of the cotton leafworm during 1980-1984 cotton-growing seasons. </w:t>
      </w:r>
      <w:r>
        <w:rPr>
          <w:rFonts w:ascii="Calibri" w:hAnsi="Calibri" w:eastAsia="Calibri" w:cs="Calibri"/>
          <w:i/>
          <w:iCs/>
          <w:color w:val="000000"/>
          <w:sz w:val="22"/>
          <w:szCs w:val="22"/>
        </w:rPr>
        <w:t xml:space="preserve">Bulletin of the Entomological Society of Egypt, Economic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405-411.</w:t>
      </w:r>
    </w:p>
    <w:p>
      <w:pPr>
        <w:widowControl w:val="on"/>
        <w:pBdr/>
        <w:spacing w:before="220" w:after="220" w:line="240" w:lineRule="auto"/>
        <w:ind w:left="0" w:right="0"/>
        <w:jc w:val="left"/>
      </w:pPr>
      <w:r>
        <w:rPr>
          <w:rFonts w:ascii="Calibri" w:hAnsi="Calibri" w:eastAsia="Calibri" w:cs="Calibri"/>
          <w:color w:val="000000"/>
          <w:sz w:val="22"/>
          <w:szCs w:val="22"/>
        </w:rPr>
        <w:t xml:space="preserve">Lopez-Vaamonde C (2008) Species accounts of 100 of the most invasive alien species in Europe </w:t>
      </w:r>
      <w:r>
        <w:rPr>
          <w:rFonts w:ascii="Calibri" w:hAnsi="Calibri" w:eastAsia="Calibri" w:cs="Calibri"/>
          <w:i/>
          <w:iCs/>
          <w:color w:val="000000"/>
          <w:sz w:val="22"/>
          <w:szCs w:val="22"/>
        </w:rPr>
        <w:t xml:space="preserve">Springer Science</w:t>
      </w:r>
      <w:r>
        <w:rPr>
          <w:rFonts w:ascii="Calibri" w:hAnsi="Calibri" w:eastAsia="Calibri" w:cs="Calibri"/>
          <w:color w:val="000000"/>
          <w:sz w:val="22"/>
          <w:szCs w:val="22"/>
        </w:rPr>
        <w:t xml:space="preserve"> pp. 269–374. doi:10.1007/978-1-4020-8280-1_13. </w:t>
      </w:r>
    </w:p>
    <w:p>
      <w:pPr>
        <w:widowControl w:val="on"/>
        <w:pBdr/>
        <w:spacing w:before="220" w:after="220" w:line="240" w:lineRule="auto"/>
        <w:ind w:left="0" w:right="0"/>
        <w:jc w:val="left"/>
      </w:pPr>
      <w:r>
        <w:rPr>
          <w:rFonts w:ascii="Calibri" w:hAnsi="Calibri" w:eastAsia="Calibri" w:cs="Calibri"/>
          <w:color w:val="000000"/>
          <w:sz w:val="22"/>
          <w:szCs w:val="22"/>
        </w:rPr>
        <w:t xml:space="preserve">Magholifard Z, Hesami S, Marzban R &amp; Salehi Jouzani G (2020) Individual and combined biological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and multicapsid nucleopolyhedrovirus on the biological stages of Egyptian cotton leafworm,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(B.) (Lep.: Noctuidae). </w:t>
      </w:r>
      <w:r>
        <w:rPr>
          <w:rFonts w:ascii="Calibri" w:hAnsi="Calibri" w:eastAsia="Calibri" w:cs="Calibri"/>
          <w:i/>
          <w:iCs/>
          <w:color w:val="000000"/>
          <w:sz w:val="22"/>
          <w:szCs w:val="22"/>
        </w:rPr>
        <w:t xml:space="preserve">JAST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GW (1976) Cold storage as a quarantine treatment to prevent the introduction of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into glasshouses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Moawad SS &amp; Sadek HE (2018) Evaluation of two eco-friendly botanical oils on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w:t>
      </w:r>
      <w:r>
        <w:rPr>
          <w:rFonts w:ascii="Calibri" w:hAnsi="Calibri" w:eastAsia="Calibri" w:cs="Calibri"/>
          <w:i/>
          <w:iCs/>
          <w:color w:val="000000"/>
          <w:sz w:val="22"/>
          <w:szCs w:val="22"/>
        </w:rPr>
        <w:t xml:space="preserve">Annals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141– 144.</w:t>
      </w:r>
    </w:p>
    <w:p>
      <w:pPr>
        <w:widowControl w:val="on"/>
        <w:pBdr/>
        <w:spacing w:before="220" w:after="220" w:line="240" w:lineRule="auto"/>
        <w:ind w:left="0" w:right="0"/>
        <w:jc w:val="left"/>
      </w:pPr>
      <w:r>
        <w:rPr>
          <w:rFonts w:ascii="Calibri" w:hAnsi="Calibri" w:eastAsia="Calibri" w:cs="Calibri"/>
          <w:color w:val="000000"/>
          <w:sz w:val="22"/>
          <w:szCs w:val="22"/>
        </w:rPr>
        <w:t xml:space="preserve">Mochida O (1973) Two important pests,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on various crops morphological discrimination of the adult, pupal and larval stages.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Nasr ESA (1973) Effect of temperature and relative humidity on the life cycle of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139-144.</w:t>
      </w:r>
    </w:p>
    <w:p>
      <w:pPr>
        <w:widowControl w:val="on"/>
        <w:pBdr/>
        <w:spacing w:before="220" w:after="220" w:line="240" w:lineRule="auto"/>
        <w:ind w:left="0" w:right="0"/>
        <w:jc w:val="left"/>
      </w:pPr>
      <w:r>
        <w:rPr>
          <w:rFonts w:ascii="Calibri" w:hAnsi="Calibri" w:eastAsia="Calibri" w:cs="Calibri"/>
          <w:color w:val="000000"/>
          <w:sz w:val="22"/>
          <w:szCs w:val="22"/>
        </w:rPr>
        <w:t xml:space="preserve">Navon A, Wysoki M &amp; Keren S (1983) Potency and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preparations against larvae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Boarmia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Ascotis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Navon A, Yatom S, Padova R &amp; Ross I (1988) [Gamma irradiation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eggs and neonate larvae to eliminate the pest on flowers for export]. </w:t>
      </w:r>
      <w:r>
        <w:rPr>
          <w:rFonts w:ascii="Calibri" w:hAnsi="Calibri" w:eastAsia="Calibri" w:cs="Calibri"/>
          <w:i/>
          <w:iCs/>
          <w:color w:val="000000"/>
          <w:sz w:val="22"/>
          <w:szCs w:val="22"/>
        </w:rPr>
        <w:t xml:space="preserve">Hassadeh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722-724.</w:t>
      </w:r>
    </w:p>
    <w:p>
      <w:pPr>
        <w:widowControl w:val="on"/>
        <w:pBdr/>
        <w:spacing w:before="220" w:after="220" w:line="240" w:lineRule="auto"/>
        <w:ind w:left="0" w:right="0"/>
        <w:jc w:val="left"/>
      </w:pPr>
      <w:r>
        <w:rPr>
          <w:rFonts w:ascii="Calibri" w:hAnsi="Calibri" w:eastAsia="Calibri" w:cs="Calibri"/>
          <w:color w:val="000000"/>
          <w:sz w:val="22"/>
          <w:szCs w:val="22"/>
        </w:rPr>
        <w:t xml:space="preserve">Nucifora A (1985) [Successive cultivation and systems of integrated control in protected crops of the Mediterranean area]. </w:t>
      </w:r>
      <w:r>
        <w:rPr>
          <w:rFonts w:ascii="Calibri" w:hAnsi="Calibri" w:eastAsia="Calibri" w:cs="Calibri"/>
          <w:i/>
          <w:iCs/>
          <w:color w:val="000000"/>
          <w:sz w:val="22"/>
          <w:szCs w:val="22"/>
        </w:rPr>
        <w:t xml:space="preserve">Tecnica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223-241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Spodoptera guenee (Lepidoptera: Noctuidae).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DF &amp; Gostick KG (1971) Control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by cold storage and fumigation.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235-240.</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 &amp; Bhattacharya AK (1975) Growth and development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on several plants.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34-48. doi:10.1111/j.1439-0418.1975.tb02313.x</w:t>
      </w:r>
    </w:p>
    <w:p>
      <w:pPr>
        <w:widowControl w:val="on"/>
        <w:pBdr/>
        <w:spacing w:before="220" w:after="220" w:line="240" w:lineRule="auto"/>
        <w:ind w:left="0" w:right="0"/>
        <w:jc w:val="left"/>
      </w:pPr>
      <w:r>
        <w:rPr>
          <w:rFonts w:ascii="Calibri" w:hAnsi="Calibri" w:eastAsia="Calibri" w:cs="Calibri"/>
          <w:color w:val="000000"/>
          <w:sz w:val="22"/>
          <w:szCs w:val="22"/>
        </w:rPr>
        <w:t xml:space="preserve">Resquín-Romero G, Garrido-Jurado I &amp;Quesada-Moraga E (2016) Combined use of entomopathogenic fungi and their extracts for the control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(Lepidoptera: Noctuidae).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Russel DA, Radwan SM, Irving NS, Jones KA &amp; Downham MCA (1993) Experimental assessment of the impact of defoliation by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on the growth and yield of Giza ’75 cotton.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303–309.</w:t>
      </w:r>
    </w:p>
    <w:p>
      <w:pPr>
        <w:widowControl w:val="on"/>
        <w:pBdr/>
        <w:spacing w:before="220" w:after="220" w:line="240" w:lineRule="auto"/>
        <w:ind w:left="0" w:right="0"/>
        <w:jc w:val="left"/>
      </w:pPr>
      <w:r>
        <w:rPr>
          <w:rFonts w:ascii="Calibri" w:hAnsi="Calibri" w:eastAsia="Calibri" w:cs="Calibri"/>
          <w:color w:val="000000"/>
          <w:sz w:val="22"/>
          <w:szCs w:val="22"/>
        </w:rPr>
        <w:t xml:space="preserve">Salama HS, Dimetry NZ &amp; Salem SA (1970) On the host preference and biology of the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Zeitung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261-266.</w:t>
      </w:r>
    </w:p>
    <w:p>
      <w:pPr>
        <w:widowControl w:val="on"/>
        <w:pBdr/>
        <w:spacing w:before="220" w:after="220" w:line="240" w:lineRule="auto"/>
        <w:ind w:left="0" w:right="0"/>
        <w:jc w:val="left"/>
      </w:pPr>
      <w:r>
        <w:rPr>
          <w:rFonts w:ascii="Calibri" w:hAnsi="Calibri" w:eastAsia="Calibri" w:cs="Calibri"/>
          <w:color w:val="000000"/>
          <w:sz w:val="22"/>
          <w:szCs w:val="22"/>
        </w:rPr>
        <w:t xml:space="preserve">Salama HS &amp; Shoukry A (1972) Flight range of the moth of the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Zeitung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(2003)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in Italia: possibili ragioni della crescente diffusione e mezzi di lotta.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(6), 28-31.</w:t>
      </w:r>
    </w:p>
    <w:p>
      <w:pPr>
        <w:widowControl w:val="on"/>
        <w:pBdr/>
        <w:spacing w:before="220" w:after="220" w:line="240" w:lineRule="auto"/>
        <w:ind w:left="0" w:right="0"/>
        <w:jc w:val="left"/>
      </w:pPr>
      <w:r>
        <w:rPr>
          <w:rFonts w:ascii="Calibri" w:hAnsi="Calibri" w:eastAsia="Calibri" w:cs="Calibri"/>
          <w:color w:val="000000"/>
          <w:sz w:val="22"/>
          <w:szCs w:val="22"/>
        </w:rPr>
        <w:t xml:space="preserve">Sawicki RM (1986) Resistance to synthetic pyrethroids can be countered successfully. </w:t>
      </w:r>
      <w:r>
        <w:rPr>
          <w:rFonts w:ascii="Calibri" w:hAnsi="Calibri" w:eastAsia="Calibri" w:cs="Calibri"/>
          <w:i/>
          <w:iCs/>
          <w:color w:val="000000"/>
          <w:sz w:val="22"/>
          <w:szCs w:val="22"/>
        </w:rPr>
        <w:t xml:space="preserve">Agribusiness Worldwide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(20), 22-25.</w:t>
      </w:r>
    </w:p>
    <w:p>
      <w:pPr>
        <w:widowControl w:val="on"/>
        <w:pBdr/>
        <w:spacing w:before="220" w:after="220" w:line="240" w:lineRule="auto"/>
        <w:ind w:left="0" w:right="0"/>
        <w:jc w:val="left"/>
      </w:pPr>
      <w:r>
        <w:rPr>
          <w:rFonts w:ascii="Calibri" w:hAnsi="Calibri" w:eastAsia="Calibri" w:cs="Calibri"/>
          <w:color w:val="000000"/>
          <w:sz w:val="22"/>
          <w:szCs w:val="22"/>
        </w:rPr>
        <w:t xml:space="preserve">Sobhy HM, Abdel-Bary NA, Harras FA, Faragalla FH &amp; Husseinen HI (2020) Efficacy of entomopathogenic nematodes against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and </w:t>
      </w:r>
      <w:r>
        <w:rPr>
          <w:rFonts w:ascii="Calibri" w:hAnsi="Calibri" w:eastAsia="Calibri" w:cs="Calibri"/>
          <w:i/>
          <w:iCs/>
          <w:color w:val="000000"/>
          <w:sz w:val="22"/>
          <w:szCs w:val="22"/>
        </w:rPr>
        <w:t xml:space="preserve">Agrotis ipsilon</w:t>
      </w:r>
      <w:r>
        <w:rPr>
          <w:rFonts w:ascii="Calibri" w:hAnsi="Calibri" w:eastAsia="Calibri" w:cs="Calibri"/>
          <w:color w:val="000000"/>
          <w:sz w:val="22"/>
          <w:szCs w:val="22"/>
        </w:rPr>
        <w:t xml:space="preserve"> (H.) (Lepidoptera: Noctuidae). </w:t>
      </w:r>
      <w:r>
        <w:rPr>
          <w:rFonts w:ascii="Calibri" w:hAnsi="Calibri" w:eastAsia="Calibri" w:cs="Calibri"/>
          <w:i/>
          <w:iCs/>
          <w:color w:val="000000"/>
          <w:sz w:val="22"/>
          <w:szCs w:val="22"/>
        </w:rPr>
        <w:t xml:space="preserve">Egypt Journal Biological Pest Control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73. </w:t>
      </w:r>
      <w:hyperlink r:id="rId84846685016d01bb0" w:history="1">
        <w:r>
          <w:rPr>
            <w:rFonts w:ascii="Calibri" w:hAnsi="Calibri" w:eastAsia="Calibri" w:cs="Calibri"/>
            <w:color w:val="0000CC"/>
            <w:sz w:val="22"/>
            <w:szCs w:val="22"/>
            <w:u w:val="single"/>
          </w:rPr>
          <w:t xml:space="preserve">https://doi.org/10.1186/s41938-020-00265-6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Souka S (1980) Effects of irradiation by sterilizing and substerilizing doses on parents and F1 of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Sutanto Koko Dwi, El Salamouny S, Tufail M, Khawaja Ghulam Rasool, Sukirno S, Shepard M, Shapiro M &amp; Saad Aldawood A (2017) Evaluation of natural additives to enhance the persistence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Nucleopolyhedrovirus (SpliMNPV) under field conditions in Saudi Arabia.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(3), 924–930.</w:t>
      </w:r>
    </w:p>
    <w:p>
      <w:pPr>
        <w:widowControl w:val="on"/>
        <w:pBdr/>
        <w:spacing w:before="220" w:after="220" w:line="240" w:lineRule="auto"/>
        <w:ind w:left="0" w:right="0"/>
        <w:jc w:val="left"/>
      </w:pPr>
      <w:r>
        <w:rPr>
          <w:rFonts w:ascii="Calibri" w:hAnsi="Calibri" w:eastAsia="Calibri" w:cs="Calibri"/>
          <w:color w:val="000000"/>
          <w:sz w:val="22"/>
          <w:szCs w:val="22"/>
        </w:rPr>
        <w:t xml:space="preserve">Temerak SA (2002) Historical records of field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resistance to conventional insecticides as influenced by the resistance programs in Egypt. </w:t>
      </w:r>
      <w:r>
        <w:rPr>
          <w:rFonts w:ascii="Calibri" w:hAnsi="Calibri" w:eastAsia="Calibri" w:cs="Calibri"/>
          <w:i/>
          <w:iCs/>
          <w:color w:val="000000"/>
          <w:sz w:val="22"/>
          <w:szCs w:val="22"/>
        </w:rPr>
        <w:t xml:space="preserve">Resistant Pest Management Newslett</w:t>
      </w:r>
      <w:r>
        <w:rPr>
          <w:rFonts w:ascii="Calibri" w:hAnsi="Calibri" w:eastAsia="Calibri" w:cs="Calibri"/>
          <w:color w:val="000000"/>
          <w:sz w:val="22"/>
          <w:szCs w:val="22"/>
        </w:rPr>
        <w:t xml:space="preserve">er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7-10.</w:t>
      </w:r>
    </w:p>
    <w:p>
      <w:pPr>
        <w:widowControl w:val="on"/>
        <w:pBdr/>
        <w:spacing w:before="220" w:after="220" w:line="240" w:lineRule="auto"/>
        <w:ind w:left="0" w:right="0"/>
        <w:jc w:val="left"/>
      </w:pPr>
      <w:r>
        <w:rPr>
          <w:rFonts w:ascii="Calibri" w:hAnsi="Calibri" w:eastAsia="Calibri" w:cs="Calibri"/>
          <w:color w:val="000000"/>
          <w:sz w:val="22"/>
          <w:szCs w:val="22"/>
        </w:rPr>
        <w:t xml:space="preserve">Vasilaina-Alexopoulou P, Mourikis PA, Argyriou L, Lioutsi S &amp; Komessariou G (1970) Preliminary experiments on control of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(Boisduval) (Lepidoptera. Noctuidae) in Greece. </w:t>
      </w:r>
      <w:r>
        <w:rPr>
          <w:rFonts w:ascii="Calibri" w:hAnsi="Calibri" w:eastAsia="Calibri" w:cs="Calibri"/>
          <w:i/>
          <w:iCs/>
          <w:color w:val="000000"/>
          <w:sz w:val="22"/>
          <w:szCs w:val="22"/>
        </w:rPr>
        <w:t xml:space="preserve">Annals of Benaki Phytopathological Institute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 337. </w:t>
      </w:r>
    </w:p>
    <w:p>
      <w:pPr>
        <w:widowControl w:val="on"/>
        <w:pBdr/>
        <w:spacing w:before="220" w:after="220" w:line="240" w:lineRule="auto"/>
        <w:ind w:left="0" w:right="0"/>
        <w:jc w:val="left"/>
      </w:pPr>
      <w:r>
        <w:rPr>
          <w:rFonts w:ascii="Calibri" w:hAnsi="Calibri" w:eastAsia="Calibri" w:cs="Calibri"/>
          <w:color w:val="000000"/>
          <w:sz w:val="22"/>
          <w:szCs w:val="22"/>
        </w:rPr>
        <w:t xml:space="preserve">Viette PEL (1962) Noctuelles trifides de Madagascar, écologie, biogéographie, morphologie et taxonomie (Lep.) </w:t>
      </w:r>
      <w:r>
        <w:rPr>
          <w:rFonts w:ascii="Calibri" w:hAnsi="Calibri" w:eastAsia="Calibri" w:cs="Calibri"/>
          <w:i/>
          <w:iCs/>
          <w:color w:val="000000"/>
          <w:sz w:val="22"/>
          <w:szCs w:val="22"/>
        </w:rPr>
        <w:t xml:space="preserve">Annales de la Societé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(1), 1-825.</w:t>
      </w:r>
    </w:p>
    <w:p>
      <w:pPr>
        <w:widowControl w:val="on"/>
        <w:pBdr/>
        <w:spacing w:before="220" w:after="220" w:line="240" w:lineRule="auto"/>
        <w:ind w:left="0" w:right="0"/>
        <w:jc w:val="left"/>
      </w:pPr>
      <w:r>
        <w:rPr>
          <w:rFonts w:ascii="Calibri" w:hAnsi="Calibri" w:eastAsia="Calibri" w:cs="Calibri"/>
          <w:color w:val="000000"/>
          <w:sz w:val="22"/>
          <w:szCs w:val="22"/>
        </w:rPr>
        <w:t xml:space="preserve">Vojtech E, Meissle M &amp; Poppy GM (2005) Effects of Bt maize on the herbivore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and the parasitoid </w:t>
      </w:r>
      <w:r>
        <w:rPr>
          <w:rFonts w:ascii="Calibri" w:hAnsi="Calibri" w:eastAsia="Calibri" w:cs="Calibri"/>
          <w:i/>
          <w:iCs/>
          <w:color w:val="000000"/>
          <w:sz w:val="22"/>
          <w:szCs w:val="22"/>
        </w:rPr>
        <w:t xml:space="preserve">Cotesia marginiventris </w:t>
      </w:r>
      <w:r>
        <w:rPr>
          <w:rFonts w:ascii="Calibri" w:hAnsi="Calibri" w:eastAsia="Calibri" w:cs="Calibri"/>
          <w:color w:val="000000"/>
          <w:sz w:val="22"/>
          <w:szCs w:val="22"/>
        </w:rPr>
        <w:t xml:space="preserve">(Hymenoptera: Braconidae). </w:t>
      </w:r>
      <w:r>
        <w:rPr>
          <w:rFonts w:ascii="Calibri" w:hAnsi="Calibri" w:eastAsia="Calibri" w:cs="Calibri"/>
          <w:i/>
          <w:iCs/>
          <w:color w:val="000000"/>
          <w:sz w:val="22"/>
          <w:szCs w:val="22"/>
        </w:rPr>
        <w:t xml:space="preserve">Transgenic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133–144. </w:t>
      </w:r>
      <w:hyperlink r:id="rId44436685016d01e93" w:history="1">
        <w:r>
          <w:rPr>
            <w:rFonts w:ascii="Calibri" w:hAnsi="Calibri" w:eastAsia="Calibri" w:cs="Calibri"/>
            <w:color w:val="0000CC"/>
            <w:sz w:val="22"/>
            <w:szCs w:val="22"/>
            <w:u w:val="single"/>
          </w:rPr>
          <w:t xml:space="preserve">https://doi.org/10.1007/s11248-005-2736-z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Yones MS, Arafat S, Abou Hadid AF, Abd Elrahman HA &amp; Dahi HF (2012) Determination of the best timing for control application against cotton leaf worm using remote sensing and geographical information techniques. </w:t>
      </w:r>
      <w:r>
        <w:rPr>
          <w:rFonts w:ascii="Calibri" w:hAnsi="Calibri" w:eastAsia="Calibri" w:cs="Calibri"/>
          <w:i/>
          <w:iCs/>
          <w:color w:val="000000"/>
          <w:sz w:val="22"/>
          <w:szCs w:val="22"/>
        </w:rPr>
        <w:t xml:space="preserve">Egyptian Journal of remote Sensing and Space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151-160.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Panagiotis Milonas (Benaki Phytopathological Institute).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EPPO datasheets on pests recommended for regulation. Available online. </w:t>
      </w:r>
      <w:hyperlink r:id="rId80336685016d01fa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 on Quarantine Organisms no 120: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29336685016d02112" w:history="1">
        <w:r>
          <w:rPr>
            <w:rFonts w:ascii="Calibri" w:hAnsi="Calibri" w:eastAsia="Calibri" w:cs="Calibri"/>
            <w:color w:val="0000CC"/>
            <w:sz w:val="22"/>
            <w:szCs w:val="22"/>
            <w:u w:val="single"/>
          </w:rPr>
          <w:t xml:space="preserve">https://doi.org/10.1111/j.1365-2338.1981.tb01750.x</w:t>
        </w:r>
      </w:hyperlink>
    </w:p>
    <w:p>
      <w:r>
        <w:drawing>
          <wp:inline distT="0" distB="0" distL="0" distR="0">
            <wp:extent cx="1800000" cy="604800"/>
            <wp:docPr id="19229275" name="name29246685016d023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726685016d023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53912">
    <w:multiLevelType w:val="hybridMultilevel"/>
    <w:lvl w:ilvl="0" w:tplc="15833853">
      <w:start w:val="1"/>
      <w:numFmt w:val="decimal"/>
      <w:lvlText w:val="%1."/>
      <w:lvlJc w:val="left"/>
      <w:pPr>
        <w:ind w:left="720" w:hanging="360"/>
      </w:pPr>
    </w:lvl>
    <w:lvl w:ilvl="1" w:tplc="15833853" w:tentative="1">
      <w:start w:val="1"/>
      <w:numFmt w:val="lowerLetter"/>
      <w:lvlText w:val="%2."/>
      <w:lvlJc w:val="left"/>
      <w:pPr>
        <w:ind w:left="1440" w:hanging="360"/>
      </w:pPr>
    </w:lvl>
    <w:lvl w:ilvl="2" w:tplc="15833853" w:tentative="1">
      <w:start w:val="1"/>
      <w:numFmt w:val="lowerRoman"/>
      <w:lvlText w:val="%3."/>
      <w:lvlJc w:val="right"/>
      <w:pPr>
        <w:ind w:left="2160" w:hanging="180"/>
      </w:pPr>
    </w:lvl>
    <w:lvl w:ilvl="3" w:tplc="15833853" w:tentative="1">
      <w:start w:val="1"/>
      <w:numFmt w:val="decimal"/>
      <w:lvlText w:val="%4."/>
      <w:lvlJc w:val="left"/>
      <w:pPr>
        <w:ind w:left="2880" w:hanging="360"/>
      </w:pPr>
    </w:lvl>
    <w:lvl w:ilvl="4" w:tplc="15833853" w:tentative="1">
      <w:start w:val="1"/>
      <w:numFmt w:val="lowerLetter"/>
      <w:lvlText w:val="%5."/>
      <w:lvlJc w:val="left"/>
      <w:pPr>
        <w:ind w:left="3600" w:hanging="360"/>
      </w:pPr>
    </w:lvl>
    <w:lvl w:ilvl="5" w:tplc="15833853" w:tentative="1">
      <w:start w:val="1"/>
      <w:numFmt w:val="lowerRoman"/>
      <w:lvlText w:val="%6."/>
      <w:lvlJc w:val="right"/>
      <w:pPr>
        <w:ind w:left="4320" w:hanging="180"/>
      </w:pPr>
    </w:lvl>
    <w:lvl w:ilvl="6" w:tplc="15833853" w:tentative="1">
      <w:start w:val="1"/>
      <w:numFmt w:val="decimal"/>
      <w:lvlText w:val="%7."/>
      <w:lvlJc w:val="left"/>
      <w:pPr>
        <w:ind w:left="5040" w:hanging="360"/>
      </w:pPr>
    </w:lvl>
    <w:lvl w:ilvl="7" w:tplc="15833853" w:tentative="1">
      <w:start w:val="1"/>
      <w:numFmt w:val="lowerLetter"/>
      <w:lvlText w:val="%8."/>
      <w:lvlJc w:val="left"/>
      <w:pPr>
        <w:ind w:left="5760" w:hanging="360"/>
      </w:pPr>
    </w:lvl>
    <w:lvl w:ilvl="8" w:tplc="15833853" w:tentative="1">
      <w:start w:val="1"/>
      <w:numFmt w:val="lowerRoman"/>
      <w:lvlText w:val="%9."/>
      <w:lvlJc w:val="right"/>
      <w:pPr>
        <w:ind w:left="6480" w:hanging="180"/>
      </w:pPr>
    </w:lvl>
  </w:abstractNum>
  <w:abstractNum w:abstractNumId="34453911">
    <w:multiLevelType w:val="hybridMultilevel"/>
    <w:lvl w:ilvl="0" w:tplc="425919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453911">
    <w:abstractNumId w:val="34453911"/>
  </w:num>
  <w:num w:numId="34453912">
    <w:abstractNumId w:val="344539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7540968" Type="http://schemas.microsoft.com/office/2011/relationships/commentsExtended" Target="commentsExtended.xml"/><Relationship Id="rId887286666" Type="http://schemas.microsoft.com/office/2011/relationships/people" Target="people.xml"/><Relationship Id="rId37596685016cf19a7" Type="http://schemas.openxmlformats.org/officeDocument/2006/relationships/hyperlink" Target="https://gd.eppo.int/taxon/SPODLI/" TargetMode="External"/><Relationship Id="rId28256685016cf19eb" Type="http://schemas.openxmlformats.org/officeDocument/2006/relationships/hyperlink" Target="https://gd.eppo.int/taxon/SPODLI/categorization" TargetMode="External"/><Relationship Id="rId54936685016cf222c" Type="http://schemas.openxmlformats.org/officeDocument/2006/relationships/hyperlink" Target="https://gd.eppo.int/taxon/SPODLI/photos" TargetMode="External"/><Relationship Id="rId17706685016d00b51" Type="http://schemas.openxmlformats.org/officeDocument/2006/relationships/hyperlink" Target="https://doi.org/10.2903/j.efsa.2015.3987" TargetMode="External"/><Relationship Id="rId18226685016d00df7" Type="http://schemas.openxmlformats.org/officeDocument/2006/relationships/hyperlink" Target="http://www.fredon-corse.com/ravageurs/Noctuelle_mediterraneenne.htm" TargetMode="External"/><Relationship Id="rId43476685016d00fc8" Type="http://schemas.openxmlformats.org/officeDocument/2006/relationships/hyperlink" Target="https://doi.org/10.1093/jee/tow028" TargetMode="External"/><Relationship Id="rId84846685016d01bb0" Type="http://schemas.openxmlformats.org/officeDocument/2006/relationships/hyperlink" Target="https://doi.org/10.1186/s41938-020-00265-6" TargetMode="External"/><Relationship Id="rId44436685016d01e93" Type="http://schemas.openxmlformats.org/officeDocument/2006/relationships/hyperlink" Target="https://doi.org/10.1007/s11248-005-2736-z" TargetMode="External"/><Relationship Id="rId80336685016d01fa4" Type="http://schemas.openxmlformats.org/officeDocument/2006/relationships/hyperlink" Target="https://gd.eppo.int" TargetMode="External"/><Relationship Id="rId29336685016d02112" Type="http://schemas.openxmlformats.org/officeDocument/2006/relationships/hyperlink" Target="https://doi.org/10.1111/j.1365-2338.1981.tb01750.x" TargetMode="External"/><Relationship Id="rId93416685016cf20f8" Type="http://schemas.openxmlformats.org/officeDocument/2006/relationships/image" Target="media/imgrId93416685016cf20f8.jpg"/><Relationship Id="rId23396685016cf3960" Type="http://schemas.openxmlformats.org/officeDocument/2006/relationships/image" Target="media/imgrId23396685016cf3960.jpg"/><Relationship Id="rId20726685016d02333" Type="http://schemas.openxmlformats.org/officeDocument/2006/relationships/image" Target="media/imgrId20726685016d023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