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lycopersici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lycopersici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Blackberry (Himalaya)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13</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 bud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Winter peach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chlorosis mosaic of raspberry, chlorosis of pelargonium, crumbly fruit of raspberry, decline of raspberry, eola rasp leaf of cherry, ringspot of tomato, stem pitting of prunus, stub head of gladiolus, stunt of gladiolus, union necrosis of apple, yellow blotch curl of raspberry, yellow bud mosaic of peach, yellow vein of grapevine</w:t>
            </w:r>
            <w:hyperlink r:id="rId7663669e6d2b2d5d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05669e6d2b2d6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538356" name="name2066669e6d2b2d762" descr="1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0.jpg"/>
                          <pic:cNvPicPr/>
                        </pic:nvPicPr>
                        <pic:blipFill>
                          <a:blip r:embed="rId7235669e6d2b2d761" cstate="print"/>
                          <a:stretch>
                            <a:fillRect/>
                          </a:stretch>
                        </pic:blipFill>
                        <pic:spPr>
                          <a:xfrm>
                            <a:off x="0" y="0"/>
                            <a:ext cx="2160000" cy="1281600"/>
                          </a:xfrm>
                          <a:prstGeom prst="rect">
                            <a:avLst/>
                          </a:prstGeom>
                          <a:ln w="0">
                            <a:noFill/>
                          </a:ln>
                        </pic:spPr>
                      </pic:pic>
                    </a:graphicData>
                  </a:graphic>
                </wp:inline>
              </w:drawing>
            </w:r>
            <w:hyperlink r:id="rId6659669e6d2b2d88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name ‘tomato ringspot’ was initially applied to two apparently unrelated viruses. Price's isolate is now considered to be ToRSV, while that described by Samson &amp; Imle (1942) is probably related to tomato top necrosis virus (Stace-Smith, 1984, Sanfaçon and Fuchs,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ToRSV occurs mostly in fruit, ornamental, and vegetable crops. Important fruit crop and ornamental plant hosts include stone fruits such as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myrobalan cherry(</w:t>
      </w:r>
      <w:r>
        <w:rPr>
          <w:rFonts w:ascii="Calibri" w:hAnsi="Calibri" w:eastAsia="Calibri" w:cs="Calibri"/>
          <w:i/>
          <w:iCs/>
          <w:color w:val="000000"/>
          <w:sz w:val="22"/>
          <w:szCs w:val="22"/>
        </w:rPr>
        <w:t xml:space="preserve"> Prunus cerasifera</w:t>
      </w:r>
      <w:r>
        <w:rPr>
          <w:rFonts w:ascii="Calibri" w:hAnsi="Calibri" w:eastAsia="Calibri" w:cs="Calibri"/>
          <w:color w:val="000000"/>
          <w:sz w:val="22"/>
          <w:szCs w:val="22"/>
        </w:rPr>
        <w:t xml:space="preserve">), Nanking cherry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berries such as black currants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red currants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blackberries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 other fruit crops such as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grapes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pawpaws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trees such as white ash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flowers such as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and vegetables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Many weeds such as dandelion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can constitute reservoirs for the virus in field settings.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sheep sorrel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are also commonly infected, often sustaining symptomless infection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The experimental host range is very wide, with species in more than 35 dicotyledonous and monocotyledonous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trilocularis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celosioides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foetidus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Laggera aurita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Nelsonia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Ponthieva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widespread in temperate regions of North America where the ectoparasitic nematode vector, </w:t>
      </w:r>
      <w:r>
        <w:rPr>
          <w:rFonts w:ascii="Calibri" w:hAnsi="Calibri" w:eastAsia="Calibri" w:cs="Calibri"/>
          <w:i/>
          <w:iCs/>
          <w:color w:val="000000"/>
          <w:sz w:val="22"/>
          <w:szCs w:val="22"/>
        </w:rPr>
        <w:t xml:space="preserve">Xiphinema americanum senso lato</w:t>
      </w:r>
      <w:r>
        <w:rPr>
          <w:rFonts w:ascii="Calibri" w:hAnsi="Calibri" w:eastAsia="Calibri" w:cs="Calibri"/>
          <w:color w:val="000000"/>
          <w:sz w:val="22"/>
          <w:szCs w:val="22"/>
        </w:rPr>
        <w:t xml:space="preserve">, occurs. The virus has also been reported from ornamentals and berry crops in other parts of the world. Of note, it has a restricted distribution in the EPPO region with some records referring to interceptions on plant material, particularly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imported from North America. Where virus occurrence is confirmed, it is often not clear which host is concerned, although it is agreed that ToRSV does not occur in fruit trees in the EPPO region. Older records based on the use of indicator plants should be considered with caution because they relate to a disease rather than a virus. ToRSV appears to have been eradicated in most of the EU countries based on recent surveys.</w:t>
      </w:r>
    </w:p>
    <w:p>
      <w:r>
        <w:drawing>
          <wp:inline distT="0" distB="0" distL="0" distR="0">
            <wp:extent cx="6120000" cy="3067200"/>
            <wp:docPr id="1677174" name="name1309669e6d2b2f4ce" descr="TO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V0_distribution_map.jpg"/>
                    <pic:cNvPicPr/>
                  </pic:nvPicPr>
                  <pic:blipFill>
                    <a:blip r:embed="rId5559669e6d2b2f4c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Belgium, Croatia, France (mainland), Jordan, Netherlands, Poland, Russia (Central Russia, Far East), Slovakia,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Nigeria,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(Zhejiang), India (Himachal Pradesh), Iran, Japan (Hokkaido, Honshu), Jordan, Korea, Republic, Oman,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Ontario, Québec), United States of America (Alabama, Arkansas, California, Colorado, Connecticut, Delaware, Florida, Georgia, Illinois, Indiana, Kansas, Kentucky, Maryland, Massachusetts, Michigan, Minnesota, Missouri, Montana, New Hampshire, New Jersey, New Mexico, New York, North Carolina, Ohio, Oklahoma, Oregon, Pennsylvania, Rhode Island, South Carolina,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Chile, Colombia,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occasionally transmitted to raspberry seed via the maternal tissue with no evidence of healthy mother plants becoming infected via infected pollen (Braun &amp; Keplinger, 1973). However, pollen transmission to seed has been demonstrated in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(Scarborough &amp; Smith, 1977). The virus has also been transmitted occasionally through seed of tomatoes,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grapes, and frequently through seed of globe amaranth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strawberries,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Transmission experiments with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spp.) have proved negative. The virus is readily transmissible by grafting and by sap inoculation to herbaceous hosts; sap transmission from the latter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has not been achieved. In raspberry fields, spread is predominantly from an infected plant to adjoining healthy ones, with an average annual rate of spread of about 2 m. Spread by root grafts may occur, but nematode vectors are the most important transmission agents. Infected seeds may be important as a continuing source of virus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The ectoparasitic nematode vector of ToRSV is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the American dagger nematode. This is a species complex that may contain 64 distinct species, although there is extensive discussion on the validity of some of the species described (Lamberti &amp; Bleve-Zacheo, 1979; EPPO 2023). It is therefore not possible to provide a definitive list of vector species. Nonetheless, the following nematode species have been suggested as possible vectors: </w:t>
      </w:r>
      <w:r>
        <w:rPr>
          <w:rFonts w:ascii="Calibri" w:hAnsi="Calibri" w:eastAsia="Calibri" w:cs="Calibri"/>
          <w:i/>
          <w:iCs/>
          <w:color w:val="000000"/>
          <w:sz w:val="22"/>
          <w:szCs w:val="22"/>
        </w:rPr>
        <w:t xml:space="preserve">X. americanum senso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tarjanense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inaequale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1989;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as well as the juvenile stages of the nematode, can transmit ToRSV, acquiring it within 1 h and inoculating it into healthy plants within 1 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requires at least one year to complete its life cycle and can survive (but not multiply) in soil in the absence of a host plant. It does not survive for long periods in frozen soil, and numbers decline at high and low moisture levels. The optimum temperature for nematode reproduction is 20-24°C.</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Keplinger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Converse &amp; Stace-Smith (1971),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1996), Macfarlane (2003), MacFarlane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below described symptoms cannot be taken as proof of the presence of ToRSV; further tests, such as sap transmission to herbaceous indicator hosts, and more effectively, serological and/or molecular tests are essential for positive identification.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raspberries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development is variable, but canes are stunted, and both fruit size and yield are reduced. Chlorotic ringspots may be evident on leaves of young plants. In subsequent years, very few foliar markings are apparent but leaves on new canes show epinasty and early abscission. By the third year of infection, 10-80% of fruiting canes may be killed (Smith, 1972). There is usually a border of symptomless plants around a group of visibly infected plants. Raspberry genes involved in the oxidation-reduction process, cell wall biogenesis, terpene synthase activity, and lyase activity are more abundantly expressed upon infection by ToRSV (Gonzáles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grapes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usually diagnosed early in the season with vines exhibiting many winter-killed buds and weak, stunted shoot growth. A few weeks after the start of vine growth, shoot and foliage symptoms are conspicuous on one or more shoots. Leaves develop chlorosis, ringspots, and mottling, are reduced in size, and rosetted due to the shortening of internodes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Fruit clusters are reduced in size with many berries aborting. Removal of bark from trunks and stems of diseased vines may reveal thickened, spongy phloem tissue with numerous necrotic pits (Uyemoto, 1975).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field-grown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conspicuous curling and necrosis of the terminals of one or more actively growing shoots. The basal portions of younger leaves develop brown, clearly defined, necrotic rings and sinuous lines. The petioles of the necrotic leaves and adjacent stem tissue are often marked with necrotic streaks and rings. If fruits are infected early, they develop faint to conspicuous, grey to brown, corky, superficial and frequently concentric rings or portions of rings (Smith, 1972).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peaches</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peach yellow bud mosaic strain of ToRSV, pale-green to pale-yellow, oblong, feather-edged blotches develop along the main vein or large lateral veins of the leaves. Buds either produce rosettes of small and often distorted leaves, with or without mottling, or are pale-yellow and later die. No flower symptoms are known, but fruit may be dwarfed and malformed. Some strains of ToRSV cause stem-pitting symptoms in peach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w:t>
      </w:r>
      <w:r>
        <w:rPr>
          <w:rFonts w:ascii="Calibri" w:hAnsi="Calibri" w:eastAsia="Calibri" w:cs="Calibri"/>
          <w:b/>
          <w:bCs/>
          <w:color w:val="000000"/>
          <w:sz w:val="22"/>
          <w:szCs w:val="22"/>
        </w:rPr>
        <w:t xml:space="preserve">Pelargonium</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leaves may develop ringspot symptoms or faint systemic, chlorotic flecks and a mottle with slight leaf distortion. Older leaves may show chlorotic bands in an oak-leaf pattern, or symptoms may fade, so that plants show only a slight dwarfing compared with healthy ones (although plants are still infective). Flowers show no definite colour break, but may be uneven and distorted (Rydén, 1972). However, these symptoms are rare and more commonly no symptoms are seen at 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Price (1936), Converse &amp; Stace-Smith (1971), Rydén (1972), Uyemoto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has relatively unstable, isometric particles with angular outlines, about 28 nm in diameter, sedimenting as three components and containing two single-stranded RNA molecules (Sanfaçon &amp; Fuchs, 2011; Stace-Smith,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the inspection of consignment of strawberry plants for planting, tomato seeds (EPPO, 2008b; 2021b), and apple, grapevine, strawberry and vegetable places of production (EPPO, 2017; 2018; 2021a; 2022) are available at </w:t>
      </w:r>
      <w:hyperlink r:id="rId5361669e6d2b2fe33" w:history="1">
        <w:r>
          <w:rPr>
            <w:rFonts w:ascii="Calibri" w:hAnsi="Calibri" w:eastAsia="Calibri" w:cs="Calibri"/>
            <w:color w:val="0000CC"/>
            <w:sz w:val="22"/>
            <w:szCs w:val="22"/>
            <w:u w:val="single"/>
          </w:rPr>
          <w:t xml:space="preserve">https://gd.eppo.int/taxon/TORSV0/documents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transmission to herbaceous plants can be used as a detection method.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develop small chlorotic local lesions and a systemic apical necrosis. Cucumbers show local chlorotic spots, systemic chlorosis, and mottle. Other herbaceous hosts such as tobacco,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cowpeas can also be used. For the detection of ToRSV on almonds, cherries, peaches and plums, woody indicators (e.g.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cv. Elberta or GF 305,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IR 473/1 or IR 474/1) can be used. However, serological methods, such as direct and indirect ELISA, and Immunosorbent Electron Microscopy (IEM), as well as RT-PCR (Griesbach, 1995;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are the recommended diagnostic methods based on their higher sensitivity and specificity compared with biological assays. Serological or molecular tests are also necessary to identify and characterize the viral agent(s) causing reactions on indicator plants. Finally, the advent of high-throughput sequencing is offering new avenues to identify ToRSV in infected fruit crop samples (Dias-Lara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Yao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these tests have been described in EPPO Standard PM 7/49 (EPPO, 2005) which is currently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Long-range dispersal in trade is via host plants for planting (including seeds but excluding pollen, except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accompanying soil may harbour infective seeds and viruliferous nematode vectors. It is uncertain how much host pollen is disseminated after ToRSV-infected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is planted and how efficient it is as a pathway of transmission in imported material (DEFRA,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be of economic importance where it occurs. In grapes in New York, the virus has led to a serious decline, particularly of the cultivar Cascade (Siebel 13053) (Uyemoto, 1975). In Oregon, fruit from ToRSV-infected raspberry canes weighed 21% less individually than from healthy canes, and the yield was more than halved, since ToRSV has a particularly adverse effect on drupelet set of certain cultivars (Daubeny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addition, fruit quality is reduced, the fruits being crumbly and therefore unmarketable (Mircetich, 1973). The progressive decline in raspberries is such that, by the third year of infection, up to 80% of fruiting canes may be killed.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that European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which is widespread in the EPPO region, could transmit the virus. This nematode species has a wide host range, including many hosts of ToRSV. However, there are no reports of transmission experiments with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ToRSV. In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implicated as a vector of ToRSV; although present in Europe, it has a very limited host range and would not probably play a significant role in virus distribution beyond its area of occurrence (EPPO, 2023;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ToRSV in established fruit tree orchards, vineyards, or fields of berry crops is difficult. The use of resistant cultivars or nematode-tolerant rootstocks (e.g. for grapes), and the use of healthy planting material can mitigate the impact of the virus. In addition, it is necessary to achieve good control of weeds in orchards, vineyards, and berry patches.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establish via clonal propagation of infected plants, seed of raspberries, tomatoes, tobacco and grapes, and pollen for</w:t>
      </w:r>
      <w:r>
        <w:rPr>
          <w:rFonts w:ascii="Calibri" w:hAnsi="Calibri" w:eastAsia="Calibri" w:cs="Calibri"/>
          <w:i/>
          <w:iCs/>
          <w:color w:val="000000"/>
          <w:sz w:val="22"/>
          <w:szCs w:val="22"/>
        </w:rPr>
        <w:t xml:space="preserve"> Pelargonium</w:t>
      </w:r>
      <w:r>
        <w:rPr>
          <w:rFonts w:ascii="Calibri" w:hAnsi="Calibri" w:eastAsia="Calibri" w:cs="Calibri"/>
          <w:color w:val="000000"/>
          <w:sz w:val="22"/>
          <w:szCs w:val="22"/>
        </w:rPr>
        <w:t xml:space="preserve">. In EPPO countries, entry of the virus on plants for planting is considered likely, entry on seed of some hosts is moderately likely, and entry with import of pollen is unlikely. As ToRSV can persist in its nematode vectors for extended time, vector populations imported with growing medium or non-host plants may also introduce the virus, but this entry is considered unlikely in some EPPO countries (e.g. the United Kingdom) because of existing phytosanitary measures (DEFRA,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the impacts of ToRSV are limited in the few countries where it is present. ToRSV could establish in ornamentals and eventually in fruit crops, although with limited risk concerns in the latter because the virus has not been found on fruit stocks yet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 appropriate phytosanitary measure to import plants for planting (including seeds) of host plants of ToRSV into the EPPO region could require that these plants are produced in a pest free area, among other measures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presented by DEFRA (2018), additional measures to limit the entry of ToRSV in host plants for planting originating from countries/areas where the virus is known to occur may consist of introducing virus-tested, certified material, or material deriving from tested material, and maintained under appropriate conditions. This material should be free from ToRSV and produced in a pest free place/site of production (for ToRSV as well as for the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with no disease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certification schemes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PM 4/3 (EPPO, 2002a),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PM 4/9 (EPPO, 2008a),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PM 4/26 (EPPO, 2002b) and herbaceous ornamentals PM 4/34 (EPPO, 2007). This latter Standard could be expanded to ornamentals in which ToRSV has been found in the EPPO region, including in the Netherlands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testing these ornamentals on a more systematic basis when moved within and between countries would help to trace the origins of (symptomless)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tests to guarantee the absence of nematode vectors may be applied to imported plant material with adherent soil or growing media, or on soil used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several EPPO countries, ToRSV is regulated as a quarantine virus. Therefore, statutory regulatory action is taken against any findings to contain or eradicate outbreaks, particularly in cases where the nematode vectors are also detected. Eradication or containment measures are dependent on the infected crop. These include the destruction of infected plants and prohibition on the movement of soil if vectors are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Braun AJ &amp; Keplinger JA (1973) Seed transmission of tomato ringspot virus in raspberry.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(1989) Viruses transmitted by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Trudgill DL &amp; Roberston WM (1996) Nepoviruses: Transmission by Nematodes. In: </w:t>
      </w:r>
      <w:r>
        <w:rPr>
          <w:rFonts w:ascii="Calibri" w:hAnsi="Calibri" w:eastAsia="Calibri" w:cs="Calibri"/>
          <w:i/>
          <w:iCs/>
          <w:color w:val="000000"/>
          <w:sz w:val="22"/>
          <w:szCs w:val="22"/>
        </w:rPr>
        <w:t xml:space="preserve">The Plant Viruses</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Polyhedral virions and bipartite RNA genomes, (Ed by Harrison BD &amp; Murant AF), Spinger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323-349.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Choi J, Osatuke AC, Griffin E, Stevens K, Hwang MS, Al Rwahnih M &amp; Fuchs M (2022) High-throughput sequencing reveals single and dual infections of tobacco ringspot virus and tomato ringspot virus in pawpaw trees.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3565.</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&amp; Stace-Smith R (1971) Rate of spread and effect of tomato ringspot virus on red raspberry in the field.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1104-1106.</w:t>
      </w:r>
    </w:p>
    <w:p>
      <w:pPr>
        <w:widowControl w:val="on"/>
        <w:pBdr/>
        <w:spacing w:before="220" w:after="220" w:line="240" w:lineRule="auto"/>
        <w:ind w:left="0" w:right="0"/>
        <w:jc w:val="left"/>
      </w:pPr>
      <w:r>
        <w:rPr>
          <w:rFonts w:ascii="Calibri" w:hAnsi="Calibri" w:eastAsia="Calibri" w:cs="Calibri"/>
          <w:color w:val="000000"/>
          <w:sz w:val="22"/>
          <w:szCs w:val="22"/>
        </w:rPr>
        <w:t xml:space="preserve">Daubeny HA, Freeman JA &amp; Stace-Smith R (1975) Effects of tomato ringspot virus on drupelet set of red raspberry cultivars.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755-759.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(2018) Department for Environment, Food &amp; Rural Affairs. Rapid Pest Risk Analysis (PRA) for Tomato ringspot virus (ToRSV). 1-24. Available at </w:t>
      </w:r>
      <w:hyperlink r:id="rId7002669e6d2b30832" w:history="1">
        <w:r>
          <w:rPr>
            <w:rFonts w:ascii="Calibri" w:hAnsi="Calibri" w:eastAsia="Calibri" w:cs="Calibri"/>
            <w:color w:val="0000CC"/>
            <w:sz w:val="22"/>
            <w:szCs w:val="22"/>
            <w:u w:val="single"/>
          </w:rPr>
          <w:t xml:space="preserve">https://planthealthportal.defra.gov.uk/assets/pras/ToRSV-PRA4.pdf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(2002a) Production of healthy plants for planting. EPPO Standard PM 4/3(3) Certification scheme for pelargonium.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(2002b) Production of healthy plants for planting. EPPO Standard PM 4/26(2) Certification scheme for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EPPO Standard PM 7/49(1) Tomato ringspot nepovirus.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313-318.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Production of healthy plants for planting. EPPO Standard PM 4/9(2) Certification scheme for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Production of healthy plants for planting.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Phytosanitary procedures. EPPO Standard PM 3/73(1)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Phytosanitary procedures. EPPO Standard PM 3/83(1)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02019R2072 EN 09.10.2023 013.001, 1 – 339. Lastly revised in 2023. Available at </w:t>
      </w:r>
      <w:hyperlink r:id="rId2178669e6d2b30dd5" w:history="1">
        <w:r>
          <w:rPr>
            <w:rFonts w:ascii="Calibri" w:hAnsi="Calibri" w:eastAsia="Calibri" w:cs="Calibri"/>
            <w:color w:val="0000CC"/>
            <w:sz w:val="22"/>
            <w:szCs w:val="22"/>
            <w:u w:val="single"/>
          </w:rPr>
          <w:t xml:space="preserve">https://eur-lex.europa.eu/legal-content/EN/TXT/PDF/?uri=CELEX:02019R2072-20231009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Phytosanitary procedures. EPPO Standard PM 3/76(2) Trees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354-386.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 PM 3/80(2)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Phytosanitary procedures. EPPO Standard PM 3/77(2)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hyperlink r:id="rId2918669e6d2b31046" w:history="1">
        <w:r>
          <w:rPr>
            <w:rFonts w:ascii="Calibri" w:hAnsi="Calibri" w:eastAsia="Calibri" w:cs="Calibri"/>
            <w:color w:val="0000CC"/>
            <w:sz w:val="22"/>
            <w:szCs w:val="22"/>
            <w:u w:val="single"/>
          </w:rPr>
          <w:t xml:space="preserve">https://gd.eppo.int/taxon/XIPHAM/datasheet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JA, Stace-Smith R &amp; Daubeny HA (1975) Effects of tomato ringspot virus on the growth and yield of red raspberry.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Gonzáles G, Aguilera F &amp; D’Afonseca V (2020) Transcriptome profiling of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var. Amira) in response to infection by tomato ringspot virus (ToRSV). </w:t>
      </w:r>
      <w:r>
        <w:rPr>
          <w:rFonts w:ascii="Calibri" w:hAnsi="Calibri" w:eastAsia="Calibri" w:cs="Calibri"/>
          <w:i/>
          <w:iCs/>
          <w:color w:val="000000"/>
          <w:sz w:val="22"/>
          <w:szCs w:val="22"/>
        </w:rPr>
        <w:t xml:space="preserve">Heliyon. </w:t>
      </w:r>
      <w:hyperlink r:id="rId4222669e6d2b3114c" w:history="1">
        <w:r>
          <w:rPr>
            <w:rFonts w:ascii="Calibri" w:hAnsi="Calibri" w:eastAsia="Calibri" w:cs="Calibri"/>
            <w:color w:val="0000CC"/>
            <w:sz w:val="22"/>
            <w:szCs w:val="22"/>
            <w:u w:val="single"/>
          </w:rPr>
          <w:t xml:space="preserve">https://doi.org/10.1016/j.heliyon.2020.e04518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(1995) Detection of tomato ringspot virus by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,1054-1056.</w:t>
      </w:r>
    </w:p>
    <w:p>
      <w:pPr>
        <w:widowControl w:val="on"/>
        <w:pBdr/>
        <w:spacing w:before="220" w:after="220" w:line="240" w:lineRule="auto"/>
        <w:ind w:left="0" w:right="0"/>
        <w:jc w:val="left"/>
      </w:pPr>
      <w:r>
        <w:rPr>
          <w:rFonts w:ascii="Calibri" w:hAnsi="Calibri" w:eastAsia="Calibri" w:cs="Calibri"/>
          <w:color w:val="000000"/>
          <w:sz w:val="22"/>
          <w:szCs w:val="22"/>
        </w:rPr>
        <w:t xml:space="preserve">Keplinger JA, Braun AJ &amp; Providenti R (1968) Crumbly berry of red raspberry caused by tomato ringspot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386-390.</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Zasada I, Lemaire O &amp; Demangeat G (2016) Nematode-borne plant viruses. In: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(Ed by Brown JK),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(2003) Molecular determinants of the transmission of plant viruses by nematodes.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11-215.</w:t>
      </w:r>
    </w:p>
    <w:p>
      <w:pPr>
        <w:widowControl w:val="on"/>
        <w:pBdr/>
        <w:spacing w:before="220" w:after="220" w:line="240" w:lineRule="auto"/>
        <w:ind w:left="0" w:right="0"/>
        <w:jc w:val="left"/>
      </w:pPr>
      <w:r>
        <w:rPr>
          <w:rFonts w:ascii="Calibri" w:hAnsi="Calibri" w:eastAsia="Calibri" w:cs="Calibri"/>
          <w:color w:val="000000"/>
          <w:sz w:val="22"/>
          <w:szCs w:val="22"/>
        </w:rPr>
        <w:t xml:space="preserve">Mircetich SM (1973) Recent developments in the etiology and control of peach stem pitting. </w:t>
      </w:r>
      <w:r>
        <w:rPr>
          <w:rFonts w:ascii="Calibri" w:hAnsi="Calibri" w:eastAsia="Calibri" w:cs="Calibri"/>
          <w:i/>
          <w:iCs/>
          <w:color w:val="000000"/>
          <w:sz w:val="22"/>
          <w:szCs w:val="22"/>
        </w:rPr>
        <w:t xml:space="preserve">Virginia Fruit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e0217506.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WC (1936) Specificity of acquired immunity from tobacco-ringspot diseases.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665-675.</w:t>
      </w:r>
    </w:p>
    <w:p>
      <w:pPr>
        <w:widowControl w:val="on"/>
        <w:pBdr/>
        <w:spacing w:before="220" w:after="220" w:line="240" w:lineRule="auto"/>
        <w:ind w:left="0" w:right="0"/>
        <w:jc w:val="left"/>
      </w:pPr>
      <w:r>
        <w:rPr>
          <w:rFonts w:ascii="Calibri" w:hAnsi="Calibri" w:eastAsia="Calibri" w:cs="Calibri"/>
          <w:color w:val="000000"/>
          <w:sz w:val="22"/>
          <w:szCs w:val="22"/>
        </w:rPr>
        <w:t xml:space="preserve">Rydén K (1972)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ringspot - a virus disease caused by tomato ringspot virus in Sweden.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178-182.</w:t>
      </w:r>
    </w:p>
    <w:p>
      <w:pPr>
        <w:widowControl w:val="on"/>
        <w:pBdr/>
        <w:spacing w:before="220" w:after="220" w:line="240" w:lineRule="auto"/>
        <w:ind w:left="0" w:right="0"/>
        <w:jc w:val="left"/>
      </w:pPr>
      <w:r>
        <w:rPr>
          <w:rFonts w:ascii="Calibri" w:hAnsi="Calibri" w:eastAsia="Calibri" w:cs="Calibri"/>
          <w:color w:val="000000"/>
          <w:sz w:val="22"/>
          <w:szCs w:val="22"/>
        </w:rPr>
        <w:t xml:space="preserve">Samson RW &amp; Imle EP (1942) A ringspot type of virus disease in tomato.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1037-1047.</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&amp; Fuchs M (2011) Tomato ringspot virus.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 by Hadidi A, Barba M, Candresse TM &amp; Jelkmann W), pp. 41-48.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Scarborough BA &amp; Smith SH (1977) Effects of tobacco and tomato ringspot viruses on the reproductive tissues of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292-297.</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770.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pp. 541-544.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(1984) Tomato ringspot nepovirus.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(1966) Purification and properties of tomato ringspot virus and an RNA-deficient component.</w:t>
      </w:r>
      <w:r>
        <w:rPr>
          <w:rFonts w:ascii="Calibri" w:hAnsi="Calibri" w:eastAsia="Calibri" w:cs="Calibri"/>
          <w:i/>
          <w:iCs/>
          <w:color w:val="000000"/>
          <w:sz w:val="22"/>
          <w:szCs w:val="22"/>
        </w:rPr>
        <w:t xml:space="preserve">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240-247.</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E, Qu X, Overton BE, Gildow FE &amp; Wenner NG (2007) Development of a real-time RET-PCR SYBR Green assay for </w:t>
      </w:r>
      <w:r>
        <w:rPr>
          <w:rFonts w:ascii="Calibri" w:hAnsi="Calibri" w:eastAsia="Calibri" w:cs="Calibri"/>
          <w:i/>
          <w:iCs/>
          <w:color w:val="000000"/>
          <w:sz w:val="22"/>
          <w:szCs w:val="22"/>
        </w:rPr>
        <w:t xml:space="preserve">Tomato ring spot virus</w:t>
      </w:r>
      <w:r>
        <w:rPr>
          <w:rFonts w:ascii="Calibri" w:hAnsi="Calibri" w:eastAsia="Calibri" w:cs="Calibri"/>
          <w:color w:val="000000"/>
          <w:sz w:val="22"/>
          <w:szCs w:val="22"/>
        </w:rPr>
        <w:t xml:space="preserve"> in grape.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1083-1088.</w:t>
      </w:r>
    </w:p>
    <w:p>
      <w:pPr>
        <w:widowControl w:val="on"/>
        <w:pBdr/>
        <w:spacing w:before="220" w:after="220" w:line="240" w:lineRule="auto"/>
        <w:ind w:left="0" w:right="0"/>
        <w:jc w:val="left"/>
      </w:pPr>
      <w:r>
        <w:rPr>
          <w:rFonts w:ascii="Calibri" w:hAnsi="Calibri" w:eastAsia="Calibri" w:cs="Calibri"/>
          <w:color w:val="000000"/>
          <w:sz w:val="22"/>
          <w:szCs w:val="22"/>
        </w:rPr>
        <w:t xml:space="preserve">Tang J, Khan S, Delmiglio C &amp; Ward LI (2014) Sensitive detection of Tomato ringspot virus by real-time TqaMan RT-PCR targeting the highly conserved 3—UTR region.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Lownsberry GF (1966) Transmission of tomato ringspot, peach yellow-bud mosaic, and grape yellow-bud mosaic, and grape yellow-vein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(1975) A severe outbreak of virus-induced grapevine decline in cascade grapes in New York.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98-101.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Yang IL, Deng TC &amp; Chen MJ (1986) Sap transmissible viruses associated with grapevine yellow mottle disease in Taiwan. </w:t>
      </w:r>
      <w:r>
        <w:rPr>
          <w:rFonts w:ascii="Calibri" w:hAnsi="Calibri" w:eastAsia="Calibri" w:cs="Calibri"/>
          <w:i/>
          <w:iCs/>
          <w:color w:val="000000"/>
          <w:sz w:val="22"/>
          <w:szCs w:val="22"/>
        </w:rPr>
        <w:t xml:space="preserve">Journal of Agricultural Research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Yao X, Han J, Domier L, Qu G &amp; Lewis Ivey M (2018) First report of tomato ringspot virus in an Ohio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2024 by Marc Fuchs, Cornell University (NY, 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lycopersici</w:t>
      </w:r>
      <w:r>
        <w:rPr>
          <w:rFonts w:ascii="Calibri" w:hAnsi="Calibri" w:eastAsia="Calibri" w:cs="Calibri"/>
          <w:color w:val="000000"/>
          <w:sz w:val="22"/>
          <w:szCs w:val="22"/>
        </w:rPr>
        <w:t xml:space="preserve">. EPPO datasheets on pests recommended for regulation. Available online. </w:t>
      </w:r>
      <w:hyperlink r:id="rId4030669e6d2b31c7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Tomato ringspot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169-175. </w:t>
      </w:r>
      <w:hyperlink r:id="rId3677669e6d2b31ddc" w:history="1">
        <w:r>
          <w:rPr>
            <w:rFonts w:ascii="Calibri" w:hAnsi="Calibri" w:eastAsia="Calibri" w:cs="Calibri"/>
            <w:color w:val="0000CC"/>
            <w:sz w:val="22"/>
            <w:szCs w:val="22"/>
            <w:u w:val="single"/>
          </w:rPr>
          <w:t xml:space="preserve">https://onlinelibrary.wiley.com/doi/epdf/10.1111/j.1365-2338.1982.tb01972.x</w:t>
        </w:r>
      </w:hyperlink>
    </w:p>
    <w:p>
      <w:r>
        <w:drawing>
          <wp:inline distT="0" distB="0" distL="0" distR="0">
            <wp:extent cx="1800000" cy="604800"/>
            <wp:docPr id="71275589" name="name1702669e6d2b31e7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84669e6d2b31e7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15040">
    <w:multiLevelType w:val="hybridMultilevel"/>
    <w:lvl w:ilvl="0" w:tplc="47389333">
      <w:start w:val="1"/>
      <w:numFmt w:val="decimal"/>
      <w:lvlText w:val="%1."/>
      <w:lvlJc w:val="left"/>
      <w:pPr>
        <w:ind w:left="720" w:hanging="360"/>
      </w:pPr>
    </w:lvl>
    <w:lvl w:ilvl="1" w:tplc="47389333" w:tentative="1">
      <w:start w:val="1"/>
      <w:numFmt w:val="lowerLetter"/>
      <w:lvlText w:val="%2."/>
      <w:lvlJc w:val="left"/>
      <w:pPr>
        <w:ind w:left="1440" w:hanging="360"/>
      </w:pPr>
    </w:lvl>
    <w:lvl w:ilvl="2" w:tplc="47389333" w:tentative="1">
      <w:start w:val="1"/>
      <w:numFmt w:val="lowerRoman"/>
      <w:lvlText w:val="%3."/>
      <w:lvlJc w:val="right"/>
      <w:pPr>
        <w:ind w:left="2160" w:hanging="180"/>
      </w:pPr>
    </w:lvl>
    <w:lvl w:ilvl="3" w:tplc="47389333" w:tentative="1">
      <w:start w:val="1"/>
      <w:numFmt w:val="decimal"/>
      <w:lvlText w:val="%4."/>
      <w:lvlJc w:val="left"/>
      <w:pPr>
        <w:ind w:left="2880" w:hanging="360"/>
      </w:pPr>
    </w:lvl>
    <w:lvl w:ilvl="4" w:tplc="47389333" w:tentative="1">
      <w:start w:val="1"/>
      <w:numFmt w:val="lowerLetter"/>
      <w:lvlText w:val="%5."/>
      <w:lvlJc w:val="left"/>
      <w:pPr>
        <w:ind w:left="3600" w:hanging="360"/>
      </w:pPr>
    </w:lvl>
    <w:lvl w:ilvl="5" w:tplc="47389333" w:tentative="1">
      <w:start w:val="1"/>
      <w:numFmt w:val="lowerRoman"/>
      <w:lvlText w:val="%6."/>
      <w:lvlJc w:val="right"/>
      <w:pPr>
        <w:ind w:left="4320" w:hanging="180"/>
      </w:pPr>
    </w:lvl>
    <w:lvl w:ilvl="6" w:tplc="47389333" w:tentative="1">
      <w:start w:val="1"/>
      <w:numFmt w:val="decimal"/>
      <w:lvlText w:val="%7."/>
      <w:lvlJc w:val="left"/>
      <w:pPr>
        <w:ind w:left="5040" w:hanging="360"/>
      </w:pPr>
    </w:lvl>
    <w:lvl w:ilvl="7" w:tplc="47389333" w:tentative="1">
      <w:start w:val="1"/>
      <w:numFmt w:val="lowerLetter"/>
      <w:lvlText w:val="%8."/>
      <w:lvlJc w:val="left"/>
      <w:pPr>
        <w:ind w:left="5760" w:hanging="360"/>
      </w:pPr>
    </w:lvl>
    <w:lvl w:ilvl="8" w:tplc="47389333" w:tentative="1">
      <w:start w:val="1"/>
      <w:numFmt w:val="lowerRoman"/>
      <w:lvlText w:val="%9."/>
      <w:lvlJc w:val="right"/>
      <w:pPr>
        <w:ind w:left="6480" w:hanging="180"/>
      </w:pPr>
    </w:lvl>
  </w:abstractNum>
  <w:abstractNum w:abstractNumId="79615039">
    <w:multiLevelType w:val="hybridMultilevel"/>
    <w:lvl w:ilvl="0" w:tplc="64157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15039">
    <w:abstractNumId w:val="79615039"/>
  </w:num>
  <w:num w:numId="79615040">
    <w:abstractNumId w:val="796150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2709922" Type="http://schemas.microsoft.com/office/2011/relationships/commentsExtended" Target="commentsExtended.xml"/><Relationship Id="rId718171706" Type="http://schemas.microsoft.com/office/2011/relationships/people" Target="people.xml"/><Relationship Id="rId7663669e6d2b2d5de" Type="http://schemas.openxmlformats.org/officeDocument/2006/relationships/hyperlink" Target="https://gd.eppo.int/taxon/TORSV0/" TargetMode="External"/><Relationship Id="rId7705669e6d2b2d649" Type="http://schemas.openxmlformats.org/officeDocument/2006/relationships/hyperlink" Target="https://gd.eppo.int/taxon/TORSV0/categorization" TargetMode="External"/><Relationship Id="rId6659669e6d2b2d885" Type="http://schemas.openxmlformats.org/officeDocument/2006/relationships/hyperlink" Target="https://gd.eppo.int/taxon/TORSV0/photos" TargetMode="External"/><Relationship Id="rId5361669e6d2b2fe33" Type="http://schemas.openxmlformats.org/officeDocument/2006/relationships/hyperlink" Target="https://gd.eppo.int/taxon/TORSV0/documents" TargetMode="External"/><Relationship Id="rId7002669e6d2b30832" Type="http://schemas.openxmlformats.org/officeDocument/2006/relationships/hyperlink" Target="https://planthealthportal.defra.gov.uk/assets/pras/ToRSV-PRA4.pdf" TargetMode="External"/><Relationship Id="rId2178669e6d2b30dd5" Type="http://schemas.openxmlformats.org/officeDocument/2006/relationships/hyperlink" Target="https://eur-lex.europa.eu/legal-content/EN/TXT/PDF/?uri=CELEX:02019R2072-20231009" TargetMode="External"/><Relationship Id="rId2918669e6d2b31046" Type="http://schemas.openxmlformats.org/officeDocument/2006/relationships/hyperlink" Target="https://gd.eppo.int/taxon/XIPHAM/datasheet" TargetMode="External"/><Relationship Id="rId4222669e6d2b3114c" Type="http://schemas.openxmlformats.org/officeDocument/2006/relationships/hyperlink" Target="https://doi.org/10.1016/j.heliyon.2020.e04518" TargetMode="External"/><Relationship Id="rId4030669e6d2b31c7d" Type="http://schemas.openxmlformats.org/officeDocument/2006/relationships/hyperlink" Target="https://gd.eppo.int" TargetMode="External"/><Relationship Id="rId3677669e6d2b31ddc" Type="http://schemas.openxmlformats.org/officeDocument/2006/relationships/hyperlink" Target="https://onlinelibrary.wiley.com/doi/epdf/10.1111/j.1365-2338.1982.tb01972.x" TargetMode="External"/><Relationship Id="rId7235669e6d2b2d761" Type="http://schemas.openxmlformats.org/officeDocument/2006/relationships/image" Target="media/imgrId7235669e6d2b2d761.jpg"/><Relationship Id="rId5559669e6d2b2f4cb" Type="http://schemas.openxmlformats.org/officeDocument/2006/relationships/image" Target="media/imgrId5559669e6d2b2f4cb.jpg"/><Relationship Id="rId4784669e6d2b31e7b" Type="http://schemas.openxmlformats.org/officeDocument/2006/relationships/image" Target="media/imgrId4784669e6d2b31e7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