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Cacoecimorpha pronubana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Cacoecimorpha pronubana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Cacoecia pronubana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Cacoecimorpha ambustana</w:t>
            </w:r>
            <w:r>
              <w:rPr>
                <w:rFonts w:ascii="Calibri" w:hAnsi="Calibri" w:eastAsia="Calibri" w:cs="Calibri"/>
                <w:color w:val="000000"/>
                <w:position w:val="-3"/>
                <w:sz w:val="22"/>
                <w:szCs w:val="22"/>
              </w:rPr>
              <w:t xml:space="preserve"> (Frölich), </w:t>
            </w:r>
            <w:r>
              <w:rPr>
                <w:rFonts w:ascii="Calibri" w:hAnsi="Calibri" w:eastAsia="Calibri" w:cs="Calibri"/>
                <w:i/>
                <w:iCs/>
                <w:color w:val="000000"/>
                <w:position w:val="-3"/>
                <w:sz w:val="22"/>
                <w:szCs w:val="22"/>
              </w:rPr>
              <w:t xml:space="preserve">Cacoecimorpha hermineana</w:t>
            </w:r>
            <w:r>
              <w:rPr>
                <w:rFonts w:ascii="Calibri" w:hAnsi="Calibri" w:eastAsia="Calibri" w:cs="Calibri"/>
                <w:color w:val="000000"/>
                <w:position w:val="-3"/>
                <w:sz w:val="22"/>
                <w:szCs w:val="22"/>
              </w:rPr>
              <w:t xml:space="preserve"> (Duponchel), </w:t>
            </w:r>
            <w:r>
              <w:rPr>
                <w:rFonts w:ascii="Calibri" w:hAnsi="Calibri" w:eastAsia="Calibri" w:cs="Calibri"/>
                <w:i/>
                <w:iCs/>
                <w:color w:val="000000"/>
                <w:position w:val="-3"/>
                <w:sz w:val="22"/>
                <w:szCs w:val="22"/>
              </w:rPr>
              <w:t xml:space="preserve">Cacoecimorpha insolatana</w:t>
            </w:r>
            <w:r>
              <w:rPr>
                <w:rFonts w:ascii="Calibri" w:hAnsi="Calibri" w:eastAsia="Calibri" w:cs="Calibri"/>
                <w:color w:val="000000"/>
                <w:position w:val="-3"/>
                <w:sz w:val="22"/>
                <w:szCs w:val="22"/>
              </w:rPr>
              <w:t xml:space="preserve"> (Lucas), </w:t>
            </w:r>
            <w:r>
              <w:rPr>
                <w:rFonts w:ascii="Calibri" w:hAnsi="Calibri" w:eastAsia="Calibri" w:cs="Calibri"/>
                <w:i/>
                <w:iCs/>
                <w:color w:val="000000"/>
                <w:position w:val="-3"/>
                <w:sz w:val="22"/>
                <w:szCs w:val="22"/>
              </w:rPr>
              <w:t xml:space="preserve">Tortrix pronubana</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carnation leafroller, Mediterranean carnation tortrix, carnation leaf roller, carnation tortrix, carnation tortrix moth</w:t>
            </w:r>
            <w:hyperlink r:id="rId3613676c5c622ad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710676c5c622ad5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109816" name="name9467676c5c622b52f" descr="1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26.jpg"/>
                          <pic:cNvPicPr/>
                        </pic:nvPicPr>
                        <pic:blipFill>
                          <a:blip r:embed="rId3873676c5c622b52d" cstate="print"/>
                          <a:stretch>
                            <a:fillRect/>
                          </a:stretch>
                        </pic:blipFill>
                        <pic:spPr>
                          <a:xfrm>
                            <a:off x="0" y="0"/>
                            <a:ext cx="2160000" cy="1281600"/>
                          </a:xfrm>
                          <a:prstGeom prst="rect">
                            <a:avLst/>
                          </a:prstGeom>
                          <a:ln w="0">
                            <a:noFill/>
                          </a:ln>
                        </pic:spPr>
                      </pic:pic>
                    </a:graphicData>
                  </a:graphic>
                </wp:inline>
              </w:drawing>
            </w:r>
            <w:hyperlink r:id="rId8130676c5c622b66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was described by Hübner [1796-1799]. Other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authors described </w:t>
      </w:r>
      <w:r>
        <w:rPr>
          <w:rFonts w:ascii="Calibri" w:hAnsi="Calibri" w:eastAsia="Calibri" w:cs="Calibri"/>
          <w:i/>
          <w:iCs/>
          <w:color w:val="000000"/>
          <w:sz w:val="22"/>
          <w:szCs w:val="22"/>
        </w:rPr>
        <w:t xml:space="preserve">Tortrix ambustana</w:t>
      </w:r>
      <w:r>
        <w:rPr>
          <w:rFonts w:ascii="Calibri" w:hAnsi="Calibri" w:eastAsia="Calibri" w:cs="Calibri"/>
          <w:color w:val="000000"/>
          <w:sz w:val="22"/>
          <w:szCs w:val="22"/>
        </w:rPr>
        <w:t xml:space="preserve"> (Frölich, 1830), </w:t>
      </w:r>
      <w:r>
        <w:rPr>
          <w:rFonts w:ascii="Calibri" w:hAnsi="Calibri" w:eastAsia="Calibri" w:cs="Calibri"/>
          <w:i/>
          <w:iCs/>
          <w:color w:val="000000"/>
          <w:sz w:val="22"/>
          <w:szCs w:val="22"/>
        </w:rPr>
        <w:t xml:space="preserve">Tortrix hermineana</w:t>
      </w:r>
      <w:r>
        <w:rPr>
          <w:rFonts w:ascii="Calibri" w:hAnsi="Calibri" w:eastAsia="Calibri" w:cs="Calibri"/>
          <w:color w:val="000000"/>
          <w:sz w:val="22"/>
          <w:szCs w:val="22"/>
        </w:rPr>
        <w:t xml:space="preserve"> (Duponchel, 1834), </w:t>
      </w:r>
      <w:r>
        <w:rPr>
          <w:rFonts w:ascii="Calibri" w:hAnsi="Calibri" w:eastAsia="Calibri" w:cs="Calibri"/>
          <w:i/>
          <w:iCs/>
          <w:color w:val="000000"/>
          <w:sz w:val="22"/>
          <w:szCs w:val="22"/>
        </w:rPr>
        <w:t xml:space="preserve">Tortrix insolatana</w:t>
      </w:r>
      <w:r>
        <w:rPr>
          <w:rFonts w:ascii="Calibri" w:hAnsi="Calibri" w:eastAsia="Calibri" w:cs="Calibri"/>
          <w:color w:val="000000"/>
          <w:sz w:val="22"/>
          <w:szCs w:val="22"/>
        </w:rPr>
        <w:t xml:space="preserve"> (Lucas, 1848), </w:t>
      </w:r>
      <w:r>
        <w:rPr>
          <w:rFonts w:ascii="Calibri" w:hAnsi="Calibri" w:eastAsia="Calibri" w:cs="Calibri"/>
          <w:i/>
          <w:iCs/>
          <w:color w:val="000000"/>
          <w:sz w:val="22"/>
          <w:szCs w:val="22"/>
        </w:rPr>
        <w:t xml:space="preserve">Tortrix perochreana</w:t>
      </w:r>
      <w:r>
        <w:rPr>
          <w:rFonts w:ascii="Calibri" w:hAnsi="Calibri" w:eastAsia="Calibri" w:cs="Calibri"/>
          <w:color w:val="000000"/>
          <w:sz w:val="22"/>
          <w:szCs w:val="22"/>
        </w:rPr>
        <w:t xml:space="preserve"> [Herrich-Schäffer, 1856], and </w:t>
      </w:r>
      <w:r>
        <w:rPr>
          <w:rFonts w:ascii="Calibri" w:hAnsi="Calibri" w:eastAsia="Calibri" w:cs="Calibri"/>
          <w:i/>
          <w:iCs/>
          <w:color w:val="000000"/>
          <w:sz w:val="22"/>
          <w:szCs w:val="22"/>
        </w:rPr>
        <w:t xml:space="preserve">Tortrix musculana obsoletana</w:t>
      </w:r>
      <w:r>
        <w:rPr>
          <w:rFonts w:ascii="Calibri" w:hAnsi="Calibri" w:eastAsia="Calibri" w:cs="Calibri"/>
          <w:color w:val="000000"/>
          <w:sz w:val="22"/>
          <w:szCs w:val="22"/>
        </w:rPr>
        <w:t xml:space="preserve"> (Strand, 1901), all of which subsequently were recognized as junior synonyms of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(1954) recognized that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was distinct from other species of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(sensu lato) and proposed the monotypic genus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for the species. In a molecular phylogenetic analysis of genera related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based on COI (a mitochondrial gene) and 28S (a ribosomal gene),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found weak support for a sister relationship between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Archips occidentalis</w:t>
      </w:r>
      <w:r>
        <w:rPr>
          <w:rFonts w:ascii="Calibri" w:hAnsi="Calibri" w:eastAsia="Calibri" w:cs="Calibri"/>
          <w:color w:val="000000"/>
          <w:sz w:val="22"/>
          <w:szCs w:val="22"/>
        </w:rPr>
        <w:t xml:space="preserve">, surrounded by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The BOLD database hosted by the Biodiversity Institute of Ontario, University of Guelph, includes DNA barcodes (COI over 500 basepairs) for 44 specimens that form a single BIN (BOLD: AAD3477), with an average distance of 0.26 % among samples, and a distance of 1.96 % to its nearest neighbour.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principal host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carnation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the species is highly polyphagous, reported to feed on over 160 plant species in 42 families, including fruit trees, shrubs, ornamentals, and crop plants. Important ornamental hosts include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Mahonia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Important fruit crop hosts include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bell peppers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has been reported as a pest of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crops in England, as a pest ofavocado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in Israel (Wyoski &amp; Izhar, 1976), and as a pest of olive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in Northern Africa and Turkey (Kaçar &amp; Ulusoy, 2008). Sokoloff (1983) and Castresana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 the species on conifers.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Drosera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amygdaloides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nudiflorum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x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Cuprocyparis leylandii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native to the Mediterranean Region. Meijerman &amp; Ulenberg (2000) reported the pest as present throughout much of Europe (Italy (mainland, Sicily), France, Greece, Malta, the Netherlands, Poland, Spain, Switzerland, United Kingdom), Asia Minor (Israel, Turkey), and Northern Africa (Algeria, Libya, Morocco). It was unintentionally introduced to North America (British Columbia, California, Oregon, Washington).</w:t>
      </w:r>
    </w:p>
    <w:p>
      <w:r>
        <w:drawing>
          <wp:inline distT="0" distB="0" distL="0" distR="0">
            <wp:extent cx="6120000" cy="3067200"/>
            <wp:docPr id="74160611" name="name4309676c5c622db86" descr="TOR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TPR_distribution_map.jpg"/>
                    <pic:cNvPicPr/>
                  </pic:nvPicPr>
                  <pic:blipFill>
                    <a:blip r:embed="rId9946676c5c622db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Azerbaijan, Belgium, Bulgaria, Croatia, Cyprus, Denmark, France (mainland, Corse), Germany, Greece (mainland, Kriti), Guernsey, Hungary, Ireland, Israel, Italy (mainland, Sardegna, Sicilia), Jersey, Lithuania, Luxembourg, Malta, Morocco, Netherlands, Portugal (mainland, Madeira), Romania, Russia, Serbia, Slovenia, Spain (mainland, Islas Baleares), Sweden, Switzerland, Tunisia, Türkiye,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have as many as six generations per year, depending on latitude, elevation, and local climatic conditions. In the more northern areas of its distribution (e.g., England),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overwinter on host plants as larvae. Mortality among these larvae may be as high as 90% because of their sensitivity to low temperatures and rain. In regions with two generations per year, larvae mature from the end of March to May, with the pupal stage lasting 10-45 days. Adults emerge in April and May, with females depositing eggs until June. These eggs hatch, producing larvae that feed from late April to August. Pupation of this generation takes 15-17 days, with adults appearing in mid-August and flying until late September or early October. Some individuals may eclose as late as November if conditions (food plant quality and temperature) are favourable. During years with an exceptionally long, warm summer, a third generation may develop in the autumn on evergreen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its range (e.g., France, Italy), four generations occur. Overwintering is accomplished by larvae of the third and fourth generation; those in greenhouses (i.e., with minimum temperature 8°C) typically produce adults about 15 days earlier than those on crops outside of these artificial conditions. In the southern part of its range (North Africa), five, and possibly six, generations annually have been reported 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greenhouses with a minimum temperature of 15°C (e.g., for roses), more than five generations may develop each year, and all stages of the insect may be found between spring and autumn, but not during the winter. So, in the south of France, ovipositing females of the last generation of the year never overlap with the appearance of the first adults of the following year.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usually hatch at night, with copulation, which lasts 1‒2 h, taking place immediately. The large-bodied females are not particularly good flyers; males are considerably more active. Egg laying occurs in clusters, beginning 3‒4 h after copulation, and continues over several days. Eggs are laid primarily on smooth surfaces, and the first clutch, usually of 150-250 eggs, is the largest. Females may lay up to 700 eggs during their lifetime (average 430). </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8‒51 days, again, dependent upon latitude and temperature. Hatching larvae are positively phototactic, and quickly move to, or are carried by wind (usually on a silk thread in an activity known as ‘ballooning’), to new vegetative growth or flowers. Here, they spin silk around two to three terminal leaves or petals, and feed on the upper surface, making numerous holes; first instars may also mine the parenchyma. By the end of the third instar, the entire leaf may be engulfed in a dense silken mass.</w:t>
      </w:r>
    </w:p>
    <w:p>
      <w:pPr>
        <w:widowControl w:val="on"/>
        <w:pBdr/>
        <w:spacing w:before="220" w:after="220" w:line="240" w:lineRule="auto"/>
        <w:ind w:left="0" w:right="0"/>
        <w:jc w:val="both"/>
      </w:pPr>
      <w:r>
        <w:rPr>
          <w:rFonts w:ascii="Calibri" w:hAnsi="Calibri" w:eastAsia="Calibri" w:cs="Calibri"/>
          <w:color w:val="000000"/>
          <w:sz w:val="22"/>
          <w:szCs w:val="22"/>
        </w:rPr>
        <w:t xml:space="preserve">From egg-hatch to pupation (seven larval instars) takes 19‒70 days; pupation lasts 10‒15 days for most generations, but as mentioned above, may last as long as 45 days in more northern latitudes. Adult females live about 11‒12 days, males about 14‒18; males, in particular, are strongly attracted to light. Temperature minimums for copulation, egg laying, and hatching are 10.5, 12‒13 and 14°C, respectively. Pupae cannot survive 2 h at -4°C, and therefore are incapable of overwintering in the northern part of the range. At average temperatures of 15 and 30°C, the complete life cycle takes 123‒147 and 28‒44 days, respectively. Humidity is also an important factor; larvae can develop at 10‒15% RH; 40‒70% RH is optimum, but above 90% RH, larval and pupal mortality increases. For addition information on biology, see Fisher (1924), Bestango (1955),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carnation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Terminal and axial leaves and buds may be enclosed in silk and show feeding damage, becoming characteristically crooked; this is usually more serious in spring.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may bore into unopen buds and join the petals with silk and frass, restricting flower opening and giving flowers a characteristic swollen appearance. In some cases, internal feeding larvae may not be apparent.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Foliage attack is similar to that described for carnations, with characteristic crooked growth (Delucchi &amp; Merle, 1962). Young stems may be mined. On fruit, there are two types of damage. In April to July, larvae feed superficially on the skin at the base of the peduncle (EPPO, 2004). They then move up the fruit and continue to consume the skin while protected by leaves that they have spun together with silk. The pulp is never attacked, and the damaged mesocarp quickly suberizes. The result is the presence of light-brown to blackish patches on the fruit surface, reducing marketability. The second type of damage is that on ripe fruit, which occurs in October and November; the calyx end is usually unaffected, and damaged areas do not suberize, facilitating the introduction and development of rots.</w:t>
      </w:r>
    </w:p>
    <w:p>
      <w:pPr>
        <w:widowControl w:val="on"/>
        <w:pBdr/>
        <w:spacing w:before="220" w:after="220" w:line="240" w:lineRule="auto"/>
        <w:ind w:left="0" w:right="0"/>
        <w:jc w:val="left"/>
      </w:pPr>
      <w:r>
        <w:rPr>
          <w:rFonts w:ascii="Calibri" w:hAnsi="Calibri" w:eastAsia="Calibri" w:cs="Calibri"/>
          <w:color w:val="000000"/>
          <w:sz w:val="22"/>
          <w:szCs w:val="22"/>
        </w:rPr>
        <w:t xml:space="preserve">For more information on damage, see Targe &amp; Deportes (1961), Balachowsky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those of most tortricids, the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oval to round, flattened and scale-like, about 1.0 mm x 0.6 mm, with a reticulate chorion (= shell). They are laid in overlapping, shingle-like rows, that form an irregularly rounded cluster that may include 10-200 eggs, the number usually diminishing with age of the female. The eggs are initially light-green, becoming yellow. Prior to hatching, the pale embryonic larva with a dark head capsule becomes conspicuous through the translucent chorion of the egg. A colour illustration of an egg mass is provided by Chambon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initially yellow with a black head, the latter becoming brown in the second instar. Late instar larvae are green to dark green with conspicuous light green pinacula, white setae, and dark brown to black spiracles. The head is green to yellowish brown with a dark brown to black posterolateral dash and variable dark brown markings on the posterior margin. The prothoracic shield is brownish green to yellowish brown, usually with a characteristic dark brown to black triangular patch at the posterolateral corner and other smaller markings near the middorsal line. The anal shield is variably mottled with brown or black, and the anal fork is well developed with six tines (Gilligan and Epstein 2014). Chaetotaxy (the arrangement of the setae) is typical of most Archipini, with a trisetose L-group on the first thoracic segment; a dorsal ‘saddle’ on abdominal segment nine representing the shared pinaculum of the D2 setae; and D1 and SD2 on separate pinacula on abdominal segment 9. There are numerous colour images of the larvae on the internet, and line drawings of the chaetotaxy may be found in Fisher (1924), Swatschek (1958), and Carter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brown, becoming almost black. They are 9‒12 mm in length (Meijerman &amp; Ulenberg, 2000), with two rows of tiny spines across the dorsum of most abdominal segments, and an elongate, tapered cremaster with four pairs of tiny, hooked setae. They are nearly indistinguishable from those of many other Archipini.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6.5‒8.5 mm in males, 7.5‒11.5 mm in females. The forewing is orange-brown to dark brown; males typically have a dark brown median fascia, whereas females are lighter brown with darker reticulations. A male forewing costal fold, present in many related Archipini, is absent. The hindwing of both sexes is distinctively bright orange and black, although some females lack the black scaling (Razowski 2002, Gilligan &amp; Epstein, 2014). The hindwing colour distinguishes the species from most similar tortricids. Colour illustrations of the adult may be found in Bradley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Razowski (2002), and Gilligan &amp; Epstein (2014).</w:t>
      </w:r>
    </w:p>
    <w:p>
      <w:pPr>
        <w:widowControl w:val="on"/>
        <w:pBdr/>
        <w:spacing w:before="220" w:after="220" w:line="240" w:lineRule="auto"/>
        <w:ind w:left="0" w:right="0"/>
        <w:jc w:val="left"/>
      </w:pPr>
      <w:r>
        <w:rPr>
          <w:rFonts w:ascii="Calibri" w:hAnsi="Calibri" w:eastAsia="Calibri" w:cs="Calibri"/>
          <w:color w:val="000000"/>
          <w:sz w:val="22"/>
          <w:szCs w:val="22"/>
        </w:rPr>
        <w:t xml:space="preserve">Egg clusters, larva, and pupae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not easily distinguished from those of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(EPPO/CABI, 1996), but adults of the two species are easily separated by forewing pattern and hindwing colour.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be encountered in greenhouses, nurseries, and urban and agricultural landscapes, as well as in native 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be time consuming, and may not always successfully detect low-density infestations. Egg masses may be found on the upper surface of leaves, and first instars may leave small mines within leaves. Later instars may be detected by the presence of rolled or folded leaves, which the larvae bind with silk, creating a characteristic shelter. When feeding on flowers and buds, larvae may be detected by the presence of silk webbing and frass on petals. On citrus, larvae may leave light-brown to blackish patches on the surface of the fruit. </w:t>
      </w:r>
    </w:p>
    <w:p>
      <w:pPr>
        <w:widowControl w:val="on"/>
        <w:pBdr/>
        <w:spacing w:before="220" w:after="220" w:line="240" w:lineRule="auto"/>
        <w:ind w:left="0" w:right="0"/>
        <w:jc w:val="left"/>
      </w:pPr>
      <w:r>
        <w:rPr>
          <w:rFonts w:ascii="Calibri" w:hAnsi="Calibri" w:eastAsia="Calibri" w:cs="Calibri"/>
          <w:color w:val="000000"/>
          <w:sz w:val="22"/>
          <w:szCs w:val="22"/>
        </w:rPr>
        <w:t xml:space="preserve">A more reliable method of detection is the use of artificial attractants. Sex pheromones have been developed for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males (Descoins et al., 1985, Witzgall, 1990), and these have proven very effective for detecting and monitoring adult populations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can disperse locally, but not over long distances. In international trade, eggs and larvae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transported on plants for planting or on cut flowers of carnations, chrysanthemums, pelargoniums, roses, and other hosts. In the 2000s, the species was commonly intercepted at US ports of entry on </w:t>
      </w:r>
      <w:r>
        <w:rPr>
          <w:rFonts w:ascii="Calibri" w:hAnsi="Calibri" w:eastAsia="Calibri" w:cs="Calibri"/>
          <w:i/>
          <w:iCs/>
          <w:color w:val="000000"/>
          <w:sz w:val="22"/>
          <w:szCs w:val="22"/>
        </w:rPr>
        <w:t xml:space="preserve">Ruscus</w:t>
      </w:r>
      <w:r>
        <w:rPr>
          <w:rFonts w:ascii="Calibri" w:hAnsi="Calibri" w:eastAsia="Calibri" w:cs="Calibri"/>
          <w:color w:val="000000"/>
          <w:sz w:val="22"/>
          <w:szCs w:val="22"/>
        </w:rPr>
        <w:t xml:space="preserve"> sp. (Asparagaceae) from Italy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(Solanaceae) from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polyphagous nature of this insect, serious damage is mainly confined to carnation crops in the Mediterranean area, where losses have been reported since the 1920s. Near Nice, France, 25‒35% of carnations were affected in 1972‒1973, and losses in consignments for export were valued at about 100 000 francs (equivalent to 15 000 euros in 1972). In Morocco,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was first detected in 1933 on citrus, but it was not until 20 years later that it developed into a widespread pest on this crop, the larvae destroying foliage and damaging fruit. In Algeria,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found mainly on lemons, but is not considered a serious pest. In Italy (Sicily) surveys reported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mainly on olive trees, weeds, and roses, but not on lemons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Siscaro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Alford (1975) and Cross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indicate that tortricid moths on strawberry “… are a more benign pest that is often believed and spray treatment cannot often be economically justified.” In contrast, in Central and Northern Europe (e.g., Poland, the Netherlands),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an important pest in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can be achieved using pyrethroids such as deltamethrin and fenvalerate (Pandolfo &amp; Zagami, 1983;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Sicily, a single application of a pyrethroid provided control, and in the Middle East, chemical control has not been deemed necessary (Plant Pests of the Middle East, 2015). Burgess and Jarret (1978) studied the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on tortricid pests in greenhouses, and concluded that a higher-than-normal dose was necessary for effective 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Wysoki (1989) tested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in Israel where the moth is a pest of avocados.</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by biological means has not been investigated thoroughly, but the endoparasitoid </w:t>
      </w:r>
      <w:r>
        <w:rPr>
          <w:rFonts w:ascii="Calibri" w:hAnsi="Calibri" w:eastAsia="Calibri" w:cs="Calibri"/>
          <w:i/>
          <w:iCs/>
          <w:color w:val="000000"/>
          <w:sz w:val="22"/>
          <w:szCs w:val="22"/>
        </w:rPr>
        <w:t xml:space="preserve">Elachertus lateralis</w:t>
      </w:r>
      <w:r>
        <w:rPr>
          <w:rFonts w:ascii="Calibri" w:hAnsi="Calibri" w:eastAsia="Calibri" w:cs="Calibri"/>
          <w:color w:val="000000"/>
          <w:sz w:val="22"/>
          <w:szCs w:val="22"/>
        </w:rPr>
        <w:t xml:space="preserve"> Spinla (Eulophidae) is known to attack the larvae in Israel.  CABI (2021) provides a list of natural enemies known to attack larvae and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sex pheromones for mating disruption is still in question (Guda &amp; Capizzi, 1988). Baraldi (1996) stated that experimental research on the use of direct radiation (male sterilization) to control insect pests on cut flowers is promising. However, both mating disruption or male sterilisation may be cost prohibitive compared to the damage caused by the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a A2 quarantine pest by EPPO, and it is also of quarantine significance for JUNAC. Research in Germany (Herfs, 1963) suggested that the insect is unlikely to become established to the east and north of the January +2°C isotherm, which continues to gradually shift northward with global climate change. Based on this temperature threshold, the insect may already occupy the limits of its natural range in the Palaearctic, baring future climatic change. However, global climate change may obviously provide an opportunity for further range expansion. In addition,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a threat to greenhouse crops, especially carnations and other flowers and ornamental plants. For more information, see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occurs, nursery inspections should be carried out during the growing season prior to dispatch of nursery stock and cut flowers. Requiring that plants for planting or cut flowers of hosts originate from a pest free area can also be an appropriate phytosanitary measure. Other risk management options may be relevant, such as growing the plants under complete physical isolation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Alford DV (1975) Specific feeding preferences of tortricid larvae on flowering strawberry yields.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(1966)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Tome II, Vol. I, pp. 563‒578. Mason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Baraldi D (1996) Irraggiamento di prodotti floricoli da esportazione.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(5),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Bestango G (1955) [Biological observations and experience of control of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in 1954]. </w:t>
      </w:r>
      <w:r>
        <w:rPr>
          <w:rFonts w:ascii="Calibri" w:hAnsi="Calibri" w:eastAsia="Calibri" w:cs="Calibri"/>
          <w:i/>
          <w:iCs/>
          <w:color w:val="000000"/>
          <w:sz w:val="22"/>
          <w:szCs w:val="22"/>
        </w:rPr>
        <w:t xml:space="preserve">Rivista della Ortoflorofrutticoltura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439-454.</w:t>
      </w:r>
    </w:p>
    <w:p>
      <w:pPr>
        <w:widowControl w:val="on"/>
        <w:pBdr/>
        <w:spacing w:before="220" w:after="220" w:line="240" w:lineRule="auto"/>
        <w:ind w:left="0" w:right="0"/>
        <w:jc w:val="left"/>
      </w:pPr>
      <w:r>
        <w:rPr>
          <w:rFonts w:ascii="Calibri" w:hAnsi="Calibri" w:eastAsia="Calibri" w:cs="Calibri"/>
          <w:color w:val="000000"/>
          <w:sz w:val="22"/>
          <w:szCs w:val="22"/>
        </w:rPr>
        <w:t xml:space="preserve">BOLD (Biodiversity of Life Database) </w:t>
      </w:r>
      <w:hyperlink r:id="rId7009676c5c622e926" w:history="1">
        <w:r>
          <w:rPr>
            <w:rFonts w:ascii="Calibri" w:hAnsi="Calibri" w:eastAsia="Calibri" w:cs="Calibri"/>
            <w:color w:val="0000CC"/>
            <w:sz w:val="22"/>
            <w:szCs w:val="22"/>
            <w:u w:val="single"/>
          </w:rPr>
          <w:t xml:space="preserve">https://www.boldsystems.org/</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Bradley JD, Tremewan WG &amp; Smith A (1973) British tortricoid moths. Cochylidae and Tortricidae: Tortricinae. Ray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Burgess HD &amp; Jarrett P (1978) Control of </w:t>
      </w:r>
      <w:r>
        <w:rPr>
          <w:rFonts w:ascii="Calibri" w:hAnsi="Calibri" w:eastAsia="Calibri" w:cs="Calibri"/>
          <w:i/>
          <w:iCs/>
          <w:color w:val="000000"/>
          <w:sz w:val="22"/>
          <w:szCs w:val="22"/>
        </w:rPr>
        <w:t xml:space="preserve">Clepsis spectrana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Rep. Glasshouse Crops Res. Inst., 121.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4909676c5c622ea03" w:history="1">
        <w:r>
          <w:rPr>
            <w:rFonts w:ascii="Calibri" w:hAnsi="Calibri" w:eastAsia="Calibri" w:cs="Calibri"/>
            <w:color w:val="0000CC"/>
            <w:sz w:val="22"/>
            <w:szCs w:val="22"/>
            <w:u w:val="single"/>
          </w:rPr>
          <w:t xml:space="preserve">https://www.cabidigitallibrary.org/doi/10.1079/cabicompendium.54205</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(2022)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t>
      </w:r>
      <w:hyperlink r:id="rId3007676c5c622ea5f" w:history="1">
        <w:r>
          <w:rPr>
            <w:rFonts w:ascii="Calibri" w:hAnsi="Calibri" w:eastAsia="Calibri" w:cs="Calibri"/>
            <w:color w:val="0000CC"/>
            <w:sz w:val="22"/>
            <w:szCs w:val="22"/>
            <w:u w:val="single"/>
          </w:rPr>
          <w:t xml:space="preserve">https://inspection.canada.ca/plant-health/invasive-species/insects/carnation-tortrix/eng/1666614271626/1666614272348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Dr W. Junk Publishers</w:t>
      </w:r>
    </w:p>
    <w:p>
      <w:pPr>
        <w:widowControl w:val="on"/>
        <w:pBdr/>
        <w:spacing w:before="220" w:after="220" w:line="240" w:lineRule="auto"/>
        <w:ind w:left="0" w:right="0"/>
        <w:jc w:val="left"/>
      </w:pPr>
      <w:r>
        <w:rPr>
          <w:rFonts w:ascii="Calibri" w:hAnsi="Calibri" w:eastAsia="Calibri" w:cs="Calibri"/>
          <w:color w:val="000000"/>
          <w:sz w:val="22"/>
          <w:szCs w:val="22"/>
        </w:rPr>
        <w:t xml:space="preserve">Castresana LA, Notario A &amp; Iglesias C (1996) [Note on a tortricid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which attacks pine trees.]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469–473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Chambon JP (1986) Les tordeuses nuisibles en arboriculture fruitière. INRA,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Cross JV, Easterbrook MA, Crook AM, Crook D, Fitzgerald JD, Innocenzi PJ, Jay CN &amp; Solomon MG (2001) Review: Natural enemies and biocontrol of pests of strawberry in northern and central Europe.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165-216.</w:t>
      </w:r>
    </w:p>
    <w:p>
      <w:pPr>
        <w:widowControl w:val="on"/>
        <w:pBdr/>
        <w:spacing w:before="220" w:after="220" w:line="240" w:lineRule="auto"/>
        <w:ind w:left="0" w:right="0"/>
        <w:jc w:val="left"/>
      </w:pPr>
      <w:r>
        <w:rPr>
          <w:rFonts w:ascii="Calibri" w:hAnsi="Calibri" w:eastAsia="Calibri" w:cs="Calibri"/>
          <w:color w:val="000000"/>
          <w:sz w:val="22"/>
          <w:szCs w:val="22"/>
        </w:rPr>
        <w:t xml:space="preserve">Delucchi VL &amp; Merle L (1962) La tordeuse de l'oeillet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Hübner (Lepidoptera, Tortricidae) ravageur peu connu des agrumes au Maroc.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Descoins C, Einhorn J, Lalanne-Cassou B &amp; Pralavorio M (1985) Etude de la sécretion phéromonale de la tordeuse européenne de l’oeillet: </w:t>
      </w:r>
      <w:r>
        <w:rPr>
          <w:rFonts w:ascii="Calibri" w:hAnsi="Calibri" w:eastAsia="Calibri" w:cs="Calibri"/>
          <w:i/>
          <w:iCs/>
          <w:color w:val="000000"/>
          <w:sz w:val="22"/>
          <w:szCs w:val="22"/>
        </w:rPr>
        <w:t xml:space="preserve">Cacoecimorpha pronubana. 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PP 2/27 Good plant protection practice.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 Dombroskie J, Byun B-K, De Prins J, Simonsen T, Baez M, Brunet B &amp; Sperling F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RC (1924) The life-history and habits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Hb. with special reference to the larval and pupal stages.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395‒447.</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Tortricids of Agricultural Importance to the United States (TortAI). Identification Technology Program (ITP), USDA/APHIS/PPQ/CPHST, Fort Collins, CO, species page at idtools.org.</w:t>
      </w:r>
    </w:p>
    <w:p>
      <w:pPr>
        <w:widowControl w:val="on"/>
        <w:pBdr/>
        <w:spacing w:before="220" w:after="220" w:line="240" w:lineRule="auto"/>
        <w:ind w:left="0" w:right="0"/>
        <w:jc w:val="left"/>
      </w:pPr>
      <w:r>
        <w:rPr>
          <w:rFonts w:ascii="Calibri" w:hAnsi="Calibri" w:eastAsia="Calibri" w:cs="Calibri"/>
          <w:color w:val="000000"/>
          <w:sz w:val="22"/>
          <w:szCs w:val="22"/>
        </w:rPr>
        <w:t xml:space="preserve">Guda CD &amp; Capizzi A (1988) Pheromones and their use in integrated control in floriculture. </w:t>
      </w:r>
      <w:r>
        <w:rPr>
          <w:rFonts w:ascii="Calibri" w:hAnsi="Calibri" w:eastAsia="Calibri" w:cs="Calibri"/>
          <w:i/>
          <w:iCs/>
          <w:color w:val="000000"/>
          <w:sz w:val="22"/>
          <w:szCs w:val="22"/>
        </w:rPr>
        <w:t xml:space="preserve">Colture Protette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Herfs W (1963) [Open-air experiments on climate resistance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in relation to its possible survival in Germany. II. Trials on climate resistance and assessment of establishment potential].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1‒38.</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Calabretta C &amp; Garzia GT (1987) Attack by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on protected crops of gerbera and rose and possibilities of chemical and biological control. </w:t>
      </w:r>
      <w:r>
        <w:rPr>
          <w:rFonts w:ascii="Calibri" w:hAnsi="Calibri" w:eastAsia="Calibri" w:cs="Calibri"/>
          <w:i/>
          <w:iCs/>
          <w:color w:val="000000"/>
          <w:sz w:val="22"/>
          <w:szCs w:val="22"/>
        </w:rPr>
        <w:t xml:space="preserve">Difesa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Kaçar G &amp; Ulusoy MR (2008) Dogu Akdeniz Bolgesi'nde yeni bir zeytin zararlisi Karanfil yaprakbukeni,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[A new pest of olive trees: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in the Eastern Mediterranean Region of Turkey. </w:t>
      </w:r>
      <w:r>
        <w:rPr>
          <w:rFonts w:ascii="Calibri" w:hAnsi="Calibri" w:eastAsia="Calibri" w:cs="Calibri"/>
          <w:i/>
          <w:iCs/>
          <w:color w:val="000000"/>
          <w:sz w:val="22"/>
          <w:szCs w:val="22"/>
        </w:rPr>
        <w:t xml:space="preserve">Türkiye Entomoloji Dergisi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211‒223. (In Turkish with an English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Meijerman L &amp; Ulenberg SA (2000) Arthropods of economic importance: Eurasian Tortricidae. CD produced by Expert Centre for Taxonomic Identifications,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NS (1954) Die Gattungen der palearktischen Tortricidae. Part I. Allegemeine Aufteilung der Familie und die unterfamilien Tortricinae und Sparganothinae [The genera of the Palearctic Tortricidae. Part I. General classification of the family, and the subfamilies Tortricinae and Sparganothinae.] </w:t>
      </w:r>
      <w:r>
        <w:rPr>
          <w:rFonts w:ascii="Calibri" w:hAnsi="Calibri" w:eastAsia="Calibri" w:cs="Calibri"/>
          <w:i/>
          <w:iCs/>
          <w:color w:val="000000"/>
          <w:sz w:val="22"/>
          <w:szCs w:val="22"/>
        </w:rPr>
        <w:t xml:space="preserve">Tijdschrift fur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141–231.</w:t>
      </w:r>
    </w:p>
    <w:p>
      <w:pPr>
        <w:widowControl w:val="on"/>
        <w:pBdr/>
        <w:spacing w:before="220" w:after="220" w:line="240" w:lineRule="auto"/>
        <w:ind w:left="0" w:right="0"/>
        <w:jc w:val="left"/>
      </w:pPr>
      <w:r>
        <w:rPr>
          <w:rFonts w:ascii="Calibri" w:hAnsi="Calibri" w:eastAsia="Calibri" w:cs="Calibri"/>
          <w:color w:val="000000"/>
          <w:sz w:val="22"/>
          <w:szCs w:val="22"/>
        </w:rPr>
        <w:t xml:space="preserve">Pandolfo FM &amp; Zagami G (1983) [Carnation tortricids].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Pencheva A &amp; Yovkova M (2016) New data on alien insect pests of ornamental plants in Bulgaria. </w:t>
      </w:r>
      <w:r>
        <w:rPr>
          <w:rFonts w:ascii="Calibri" w:hAnsi="Calibri" w:eastAsia="Calibri" w:cs="Calibri"/>
          <w:i/>
          <w:iCs/>
          <w:color w:val="000000"/>
          <w:sz w:val="22"/>
          <w:szCs w:val="22"/>
        </w:rPr>
        <w:t xml:space="preserve">Forestry Ideas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17‒33.</w:t>
      </w:r>
    </w:p>
    <w:p>
      <w:pPr>
        <w:widowControl w:val="on"/>
        <w:pBdr/>
        <w:spacing w:before="220" w:after="220" w:line="240" w:lineRule="auto"/>
        <w:ind w:left="0" w:right="0"/>
        <w:jc w:val="left"/>
      </w:pPr>
      <w:r>
        <w:rPr>
          <w:rFonts w:ascii="Calibri" w:hAnsi="Calibri" w:eastAsia="Calibri" w:cs="Calibri"/>
          <w:color w:val="000000"/>
          <w:sz w:val="22"/>
          <w:szCs w:val="22"/>
        </w:rPr>
        <w:t xml:space="preserve">Plant Pests of the Middle East (2015)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6956676c5c622f1e6" w:history="1">
        <w:r>
          <w:rPr>
            <w:rFonts w:ascii="Calibri" w:hAnsi="Calibri" w:eastAsia="Calibri" w:cs="Calibri"/>
            <w:color w:val="0000CC"/>
            <w:sz w:val="22"/>
            <w:szCs w:val="22"/>
            <w:u w:val="single"/>
          </w:rPr>
          <w:t xml:space="preserve">http://www.agri.huji.ac.il/mepests/pest/Cacoecimorpha_pronubana/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(1969) Occurrence of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Oregon.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70.</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(2002) Tortricidae of Europe 1 – Tortricinae and Chlidanotinae 247 pp. Bratislava.</w:t>
      </w:r>
    </w:p>
    <w:p>
      <w:pPr>
        <w:widowControl w:val="on"/>
        <w:pBdr/>
        <w:spacing w:before="220" w:after="220" w:line="240" w:lineRule="auto"/>
        <w:ind w:left="0" w:right="0"/>
        <w:jc w:val="left"/>
      </w:pPr>
      <w:r>
        <w:rPr>
          <w:rFonts w:ascii="Calibri" w:hAnsi="Calibri" w:eastAsia="Calibri" w:cs="Calibri"/>
          <w:color w:val="000000"/>
          <w:sz w:val="22"/>
          <w:szCs w:val="22"/>
        </w:rPr>
        <w:t xml:space="preserve">Retuerto R, Fernández-Lema B, Obeso JR (2006) Changes in photochemical efficiency in response to herbivory and experimental defoliation in the dioecious tree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(2), 279‒289.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GS, Ackery PR, Kitching IJ, Beccaloni GW &amp; Hernández LM (2006) HOSTS - a database of the hostplants of the world’s Lepidoptera. The Natural History Museum, London. </w:t>
      </w:r>
      <w:hyperlink r:id="rId5080676c5c622f33a" w:history="1">
        <w:r>
          <w:rPr>
            <w:rFonts w:ascii="Calibri" w:hAnsi="Calibri" w:eastAsia="Calibri" w:cs="Calibri"/>
            <w:color w:val="0000CC"/>
            <w:sz w:val="22"/>
            <w:szCs w:val="22"/>
            <w:u w:val="single"/>
          </w:rPr>
          <w:t xml:space="preserve">http://www.nhm.ac.uk/research-curation/projects/hostplants/#10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Siscaro G, Longo S &amp; Ragusa S (1988) Notes on population dynamics of </w:t>
      </w:r>
      <w:r>
        <w:rPr>
          <w:rFonts w:ascii="Calibri" w:hAnsi="Calibri" w:eastAsia="Calibri" w:cs="Calibri"/>
          <w:i/>
          <w:iCs/>
          <w:color w:val="000000"/>
          <w:sz w:val="22"/>
          <w:szCs w:val="22"/>
        </w:rPr>
        <w:t xml:space="preserve">Archips rosanus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Sicilian citrus groves.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Sokoloff P (1983)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(Lepidoptera: Tortricidae) on conifers.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124.</w:t>
      </w:r>
    </w:p>
    <w:p>
      <w:pPr>
        <w:widowControl w:val="on"/>
        <w:pBdr/>
        <w:spacing w:before="220" w:after="220" w:line="240" w:lineRule="auto"/>
        <w:ind w:left="0" w:right="0"/>
        <w:jc w:val="left"/>
      </w:pPr>
      <w:r>
        <w:rPr>
          <w:rFonts w:ascii="Calibri" w:hAnsi="Calibri" w:eastAsia="Calibri" w:cs="Calibri"/>
          <w:color w:val="000000"/>
          <w:sz w:val="22"/>
          <w:szCs w:val="22"/>
        </w:rPr>
        <w:t xml:space="preserve">Swatschek B (1958) Abhandlungen zur Larvalsystematik der Insekten, 5. Tortricidae, Carposinidae. Akademie Verlag, Berlin (DE)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Targe A &amp; Deportes L (1961) La tordeuse de l'oeillet.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128, pp. 13‒17; No. 129, pp. 17‒22.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Vrie M (1991) Tortricids in ornamental crops in greenhouses, pp 515‒539. In: van der Geest LPS, Evenhuis HH (eds.) Tortricid pests and their biology, natural enemies and control. Elsevier, Amsterdam,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JDR (1971) Observations on the biology and control of tortricid larvae on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73‒80.</w:t>
      </w:r>
    </w:p>
    <w:p>
      <w:pPr>
        <w:widowControl w:val="on"/>
        <w:pBdr/>
        <w:spacing w:before="220" w:after="220" w:line="240" w:lineRule="auto"/>
        <w:ind w:left="0" w:right="0"/>
        <w:jc w:val="left"/>
      </w:pPr>
      <w:r>
        <w:rPr>
          <w:rFonts w:ascii="Calibri" w:hAnsi="Calibri" w:eastAsia="Calibri" w:cs="Calibri"/>
          <w:color w:val="000000"/>
          <w:sz w:val="22"/>
          <w:szCs w:val="22"/>
        </w:rPr>
        <w:t xml:space="preserve">Witzgall P (1990) Attraction of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male moths to synthetic sex pheromone blends in the wind tunnel.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1507–1515.</w:t>
      </w:r>
    </w:p>
    <w:p>
      <w:pPr>
        <w:widowControl w:val="on"/>
        <w:pBdr/>
        <w:spacing w:before="220" w:after="220" w:line="240" w:lineRule="auto"/>
        <w:ind w:left="0" w:right="0"/>
        <w:jc w:val="left"/>
      </w:pPr>
      <w:r>
        <w:rPr>
          <w:rFonts w:ascii="Calibri" w:hAnsi="Calibri" w:eastAsia="Calibri" w:cs="Calibri"/>
          <w:color w:val="000000"/>
          <w:sz w:val="22"/>
          <w:szCs w:val="22"/>
        </w:rPr>
        <w:t xml:space="preserve">Wyoski M &amp; Izhar Y (1976) The carnation leaf-roller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Huebner (Lepidoptera, Tortricidae) on avocado trees in Israel. </w:t>
      </w:r>
      <w:r>
        <w:rPr>
          <w:rFonts w:ascii="Calibri" w:hAnsi="Calibri" w:eastAsia="Calibri" w:cs="Calibri"/>
          <w:i/>
          <w:iCs/>
          <w:color w:val="000000"/>
          <w:sz w:val="22"/>
          <w:szCs w:val="22"/>
        </w:rPr>
        <w:t xml:space="preserve">California Avocado Society 1976 Yearbook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92‒95.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John W. Brown, National Museum of Natural History, Smithsonian Institution,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EPPO datasheets on pests recommended for regulation. Available online. </w:t>
      </w:r>
      <w:hyperlink r:id="rId1716676c5c622f6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104: </w:t>
      </w:r>
      <w:r>
        <w:rPr>
          <w:rFonts w:ascii="Calibri" w:hAnsi="Calibri" w:eastAsia="Calibri" w:cs="Calibri"/>
          <w:i/>
          <w:iCs/>
          <w:color w:val="000000"/>
          <w:sz w:val="22"/>
          <w:szCs w:val="22"/>
        </w:rPr>
        <w:t xml:space="preserve">Cacoecimorpha pronubana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3401676c5c622f857" w:history="1">
        <w:r>
          <w:rPr>
            <w:rFonts w:ascii="Calibri" w:hAnsi="Calibri" w:eastAsia="Calibri" w:cs="Calibri"/>
            <w:color w:val="0000CC"/>
            <w:sz w:val="22"/>
            <w:szCs w:val="22"/>
            <w:u w:val="single"/>
          </w:rPr>
          <w:t xml:space="preserve">https://doi.org/10.1111/j.1365-2338.1981.tb01738.x</w:t>
        </w:r>
      </w:hyperlink>
      <w:r>
        <w:rPr>
          <w:rFonts w:ascii="Calibri" w:hAnsi="Calibri" w:eastAsia="Calibri" w:cs="Calibri"/>
          <w:color w:val="000000"/>
          <w:sz w:val="22"/>
          <w:szCs w:val="22"/>
        </w:rPr>
        <w:t xml:space="preserve"> </w:t>
      </w:r>
    </w:p>
    <w:p>
      <w:r>
        <w:drawing>
          <wp:inline distT="0" distB="0" distL="0" distR="0">
            <wp:extent cx="1800000" cy="604800"/>
            <wp:docPr id="74648459" name="name6633676c5c622f8b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27676c5c622f8b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629046">
    <w:multiLevelType w:val="hybridMultilevel"/>
    <w:lvl w:ilvl="0" w:tplc="90990736">
      <w:start w:val="1"/>
      <w:numFmt w:val="decimal"/>
      <w:lvlText w:val="%1."/>
      <w:lvlJc w:val="left"/>
      <w:pPr>
        <w:ind w:left="720" w:hanging="360"/>
      </w:pPr>
    </w:lvl>
    <w:lvl w:ilvl="1" w:tplc="90990736" w:tentative="1">
      <w:start w:val="1"/>
      <w:numFmt w:val="lowerLetter"/>
      <w:lvlText w:val="%2."/>
      <w:lvlJc w:val="left"/>
      <w:pPr>
        <w:ind w:left="1440" w:hanging="360"/>
      </w:pPr>
    </w:lvl>
    <w:lvl w:ilvl="2" w:tplc="90990736" w:tentative="1">
      <w:start w:val="1"/>
      <w:numFmt w:val="lowerRoman"/>
      <w:lvlText w:val="%3."/>
      <w:lvlJc w:val="right"/>
      <w:pPr>
        <w:ind w:left="2160" w:hanging="180"/>
      </w:pPr>
    </w:lvl>
    <w:lvl w:ilvl="3" w:tplc="90990736" w:tentative="1">
      <w:start w:val="1"/>
      <w:numFmt w:val="decimal"/>
      <w:lvlText w:val="%4."/>
      <w:lvlJc w:val="left"/>
      <w:pPr>
        <w:ind w:left="2880" w:hanging="360"/>
      </w:pPr>
    </w:lvl>
    <w:lvl w:ilvl="4" w:tplc="90990736" w:tentative="1">
      <w:start w:val="1"/>
      <w:numFmt w:val="lowerLetter"/>
      <w:lvlText w:val="%5."/>
      <w:lvlJc w:val="left"/>
      <w:pPr>
        <w:ind w:left="3600" w:hanging="360"/>
      </w:pPr>
    </w:lvl>
    <w:lvl w:ilvl="5" w:tplc="90990736" w:tentative="1">
      <w:start w:val="1"/>
      <w:numFmt w:val="lowerRoman"/>
      <w:lvlText w:val="%6."/>
      <w:lvlJc w:val="right"/>
      <w:pPr>
        <w:ind w:left="4320" w:hanging="180"/>
      </w:pPr>
    </w:lvl>
    <w:lvl w:ilvl="6" w:tplc="90990736" w:tentative="1">
      <w:start w:val="1"/>
      <w:numFmt w:val="decimal"/>
      <w:lvlText w:val="%7."/>
      <w:lvlJc w:val="left"/>
      <w:pPr>
        <w:ind w:left="5040" w:hanging="360"/>
      </w:pPr>
    </w:lvl>
    <w:lvl w:ilvl="7" w:tplc="90990736" w:tentative="1">
      <w:start w:val="1"/>
      <w:numFmt w:val="lowerLetter"/>
      <w:lvlText w:val="%8."/>
      <w:lvlJc w:val="left"/>
      <w:pPr>
        <w:ind w:left="5760" w:hanging="360"/>
      </w:pPr>
    </w:lvl>
    <w:lvl w:ilvl="8" w:tplc="90990736" w:tentative="1">
      <w:start w:val="1"/>
      <w:numFmt w:val="lowerRoman"/>
      <w:lvlText w:val="%9."/>
      <w:lvlJc w:val="right"/>
      <w:pPr>
        <w:ind w:left="6480" w:hanging="180"/>
      </w:pPr>
    </w:lvl>
  </w:abstractNum>
  <w:abstractNum w:abstractNumId="68629045">
    <w:multiLevelType w:val="hybridMultilevel"/>
    <w:lvl w:ilvl="0" w:tplc="601885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629045">
    <w:abstractNumId w:val="68629045"/>
  </w:num>
  <w:num w:numId="68629046">
    <w:abstractNumId w:val="686290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9943043" Type="http://schemas.microsoft.com/office/2011/relationships/commentsExtended" Target="commentsExtended.xml"/><Relationship Id="rId585298813" Type="http://schemas.microsoft.com/office/2011/relationships/people" Target="people.xml"/><Relationship Id="rId3613676c5c622ad10" Type="http://schemas.openxmlformats.org/officeDocument/2006/relationships/hyperlink" Target="https://gd.eppo.int/taxon/TORTPR/" TargetMode="External"/><Relationship Id="rId9710676c5c622ad55" Type="http://schemas.openxmlformats.org/officeDocument/2006/relationships/hyperlink" Target="https://gd.eppo.int/taxon/TORTPR/categorization" TargetMode="External"/><Relationship Id="rId8130676c5c622b662" Type="http://schemas.openxmlformats.org/officeDocument/2006/relationships/hyperlink" Target="https://gd.eppo.int/taxon/TORTPR/photos" TargetMode="External"/><Relationship Id="rId7009676c5c622e926" Type="http://schemas.openxmlformats.org/officeDocument/2006/relationships/hyperlink" Target="https://www.boldsystems.org/" TargetMode="External"/><Relationship Id="rId4909676c5c622ea03" Type="http://schemas.openxmlformats.org/officeDocument/2006/relationships/hyperlink" Target="https://www.cabidigitallibrary.org/doi/10.1079/cabicompendium.54205" TargetMode="External"/><Relationship Id="rId3007676c5c622ea5f" Type="http://schemas.openxmlformats.org/officeDocument/2006/relationships/hyperlink" Target="https://inspection.canada.ca/plant-health/invasive-species/insects/carnation-tortrix/eng/1666614271626/1666614272348" TargetMode="External"/><Relationship Id="rId6956676c5c622f1e6" Type="http://schemas.openxmlformats.org/officeDocument/2006/relationships/hyperlink" Target="http://www.agri.huji.ac.il/mepests/pest/Cacoecimorpha_pronubana/" TargetMode="External"/><Relationship Id="rId5080676c5c622f33a" Type="http://schemas.openxmlformats.org/officeDocument/2006/relationships/hyperlink" Target="http://www.nhm.ac.uk/research-curation/projects/hostplants/#10" TargetMode="External"/><Relationship Id="rId1716676c5c622f6f1" Type="http://schemas.openxmlformats.org/officeDocument/2006/relationships/hyperlink" Target="https://gd.eppo.int" TargetMode="External"/><Relationship Id="rId3401676c5c622f857" Type="http://schemas.openxmlformats.org/officeDocument/2006/relationships/hyperlink" Target="https://doi.org/10.1111/j.1365-2338.1981.tb01738.x" TargetMode="External"/><Relationship Id="rId3873676c5c622b52d" Type="http://schemas.openxmlformats.org/officeDocument/2006/relationships/image" Target="media/imgrId3873676c5c622b52d.jpg"/><Relationship Id="rId9946676c5c622db81" Type="http://schemas.openxmlformats.org/officeDocument/2006/relationships/image" Target="media/imgrId9946676c5c622db81.jpg"/><Relationship Id="rId2527676c5c622f8be" Type="http://schemas.openxmlformats.org/officeDocument/2006/relationships/image" Target="media/imgrId2527676c5c622f8b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