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Trioza erytreae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Trioza erytreae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(Del Guercio)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Triozidae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Spanioza erythreae</w:t>
            </w:r>
            <w:r>
              <w:rPr>
                <w:rFonts w:ascii="Calibri" w:hAnsi="Calibri" w:eastAsia="Calibri" w:cs="Calibri"/>
                <w:color w:val="000000"/>
                <w:position w:val="-3"/>
                <w:sz w:val="22"/>
                <w:szCs w:val="22"/>
              </w:rPr>
              <w:t xml:space="preserve"> Del Guercio, </w:t>
            </w:r>
            <w:r>
              <w:rPr>
                <w:rFonts w:ascii="Calibri" w:hAnsi="Calibri" w:eastAsia="Calibri" w:cs="Calibri"/>
                <w:i/>
                <w:iCs/>
                <w:color w:val="000000"/>
                <w:position w:val="-3"/>
                <w:sz w:val="22"/>
                <w:szCs w:val="22"/>
              </w:rPr>
              <w:t xml:space="preserve">Spanioza merwei</w:t>
            </w:r>
            <w:r>
              <w:rPr>
                <w:rFonts w:ascii="Calibri" w:hAnsi="Calibri" w:eastAsia="Calibri" w:cs="Calibri"/>
                <w:color w:val="000000"/>
                <w:position w:val="-3"/>
                <w:sz w:val="22"/>
                <w:szCs w:val="22"/>
              </w:rPr>
              <w:t xml:space="preserve"> (Pettey), </w:t>
            </w:r>
            <w:r>
              <w:rPr>
                <w:rFonts w:ascii="Calibri" w:hAnsi="Calibri" w:eastAsia="Calibri" w:cs="Calibri"/>
                <w:i/>
                <w:iCs/>
                <w:color w:val="000000"/>
                <w:position w:val="-3"/>
                <w:sz w:val="22"/>
                <w:szCs w:val="22"/>
              </w:rPr>
              <w:t xml:space="preserve">Trioza merwei</w:t>
            </w:r>
            <w:r>
              <w:rPr>
                <w:rFonts w:ascii="Calibri" w:hAnsi="Calibri" w:eastAsia="Calibri" w:cs="Calibri"/>
                <w:color w:val="000000"/>
                <w:position w:val="-3"/>
                <w:sz w:val="22"/>
                <w:szCs w:val="22"/>
              </w:rPr>
              <w:t xml:space="preserve"> Pettey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African citrus psyllid, citrus psylla, citrus psyllid, two-spotted citrus psyllid</w:t>
            </w:r>
            <w:hyperlink r:id="rId305067ce6b90db2f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632967ce6b90db35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TRIZER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645125" name="name100067ce6b90dbb3c" descr="2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73.jpg"/>
                          <pic:cNvPicPr/>
                        </pic:nvPicPr>
                        <pic:blipFill>
                          <a:blip r:embed="rId944267ce6b90dbb3a" cstate="print"/>
                          <a:stretch>
                            <a:fillRect/>
                          </a:stretch>
                        </pic:blipFill>
                        <pic:spPr>
                          <a:xfrm>
                            <a:off x="0" y="0"/>
                            <a:ext cx="2160000" cy="1281600"/>
                          </a:xfrm>
                          <a:prstGeom prst="rect">
                            <a:avLst/>
                          </a:prstGeom>
                          <a:ln w="0">
                            <a:noFill/>
                          </a:ln>
                        </pic:spPr>
                      </pic:pic>
                    </a:graphicData>
                  </a:graphic>
                </wp:inline>
              </w:drawing>
            </w:r>
            <w:hyperlink r:id="rId375367ce6b90dbc7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confined to Rutaceae, occurring on wild and ornamental hosts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Within the EPPO region, the host species are generally confined to countries surrounding the Mediterranean Sea.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Until the 1990s,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was present in Sub-Saharan Africa, Saudi Arabi and the Yemen and on the islands of St. Helena, Mauritius, Reunion and Madagascar. In 1994 and 2002, this psyllid invaded Madeira and the Canary Islands, respectively, in Macaronesia (West Palaearctic). In 2014,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reached mainland Europe, where it spread from Galicia (northwestern Spain) to Lisbon in Portugal. </w:t>
      </w:r>
    </w:p>
    <w:p>
      <w:pPr>
        <w:widowControl w:val="on"/>
        <w:pBdr/>
        <w:spacing w:before="220" w:after="220" w:line="240" w:lineRule="auto"/>
        <w:ind w:left="0" w:right="0"/>
        <w:jc w:val="both"/>
      </w:pPr>
      <w:r>
        <w:rPr>
          <w:rFonts w:ascii="Calibri" w:hAnsi="Calibri" w:eastAsia="Calibri" w:cs="Calibri"/>
          <w:color w:val="000000"/>
          <w:sz w:val="22"/>
          <w:szCs w:val="22"/>
        </w:rPr>
        <w:t xml:space="preserve">A recent study has suggested that the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individuals found in Europe (Madeira, Canary Islands and Galicia) have a similar haplotype and most likely originated from South Africa, although the possibility of a Kenyan origin cannot be excluded (Ajene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wider than that of the causal agent of citrus huanglongbing (HLB) disease originally associated with this vector, </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because the vector occurs in Congo, Sudan and Zambia in Africa, and Portugal and Spain in Europe, where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africanus’ has not yet been recorded.</w:t>
      </w:r>
    </w:p>
    <w:p>
      <w:r>
        <w:drawing>
          <wp:inline distT="0" distB="0" distL="0" distR="0">
            <wp:extent cx="6120000" cy="3067200"/>
            <wp:docPr id="85944638" name="name782667ce6b90dce3b" descr="TRIZE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ZER_distribution_map.jpg"/>
                    <pic:cNvPicPr/>
                  </pic:nvPicPr>
                  <pic:blipFill>
                    <a:blip r:embed="rId431467ce6b90dce3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Cameroon, Comoros, Congo, Democratic republic of the, Eritrea, Eswatini, Ethiopia, Gabon, Ghana, Kenya, Madagascar, Malawi, Mauritius, Reunion, Rwanda, Saint Helena, Sao Tome &amp; Principe, South Africa, Sudan, Tanzania,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Saudi Arabia,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Cocuzza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compiled a bibliography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up to 2017, and general reviews have been published by van den Berg &amp; Fletcher (1988) and van den Berg (1990).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has a temperature sensitivity similar to that of the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(Schwarz &amp; Green, 1970; Catling, 1973). It is very sensitive to extreme heat (temperatures above 32°) and dry weather, with the eggs and first-instar nymphs being particularly vulnerable. Based on this climatic profile and the mortality of the psyllid, Green &amp; Catling (1971) used the maximum saturation deficit as an accurate predictor of the geographical distribution of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It is favoured in cool and moist areas, in which citrus growth flushes tend to be prolonged.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ratio fluctuates in the field, but females always predominate. There is a pre-oviposition period of 3-7 days, but this is considerably extended in the absence of young foliage; longevity is also prolonged under such conditions. Mating occurs two to four times per day, and eggs may be laid immediately. The eggs are equipped with a sharp point that is driven through the leaf epidermis and is thought to be responsible for maintaining a favourable internal water relationship. Females remain fertile for 11-16 days in the absence of males, and maximum egg production occurs towards the middle of their lifespan, which is normally 17-50 days. Each female may lay up to 2000 eggs. There is an incubation period of 5-17 days and nymph development (five instars) takes 17-47 days, the lengths of both these periods being inversely related to mean temperature and directly related to the nutritional value of the leaves. The temperature threshold for nymph development appears to be around 10-12°C. There is no diapause.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studied the daily activities and habits of adults, and egg hatching and moulting, in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whereas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 studied mating, fertility and oviposition.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transmits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under natural conditions in Africa, parts of Arabia, and some Indian Ocean islands (McClean &amp; Oberholzer, 1965; Gottwall, 2010).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has also been shown to transmit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Gottwall,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severely distorts leaves, which become stunted and galled, and appear to be dusted with solid white honeydew excreted by the psyllid. High psyllid densities and humid environmental conditions may be associated with the development of sooty mold on the honeydew.</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Yellow-orange, cylindrical, with a sharp point at the anterior; laid at the margins of young, actively growing leaves.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w:t>
      </w:r>
    </w:p>
    <w:p>
      <w:pPr>
        <w:widowControl w:val="on"/>
        <w:pBdr/>
        <w:spacing w:before="220" w:after="220" w:line="240" w:lineRule="auto"/>
        <w:ind w:left="0" w:right="0"/>
        <w:jc w:val="both"/>
      </w:pPr>
      <w:r>
        <w:rPr>
          <w:rFonts w:ascii="Calibri" w:hAnsi="Calibri" w:eastAsia="Calibri" w:cs="Calibri"/>
          <w:color w:val="000000"/>
          <w:sz w:val="22"/>
          <w:szCs w:val="22"/>
        </w:rPr>
        <w:t xml:space="preserve">Dorso-ventrally compressed and varying in colour from yellow  to olive-green or dark grey; has a marginal fringe of white, waxy filaments; largely sedentary; forms distinct colonies and settles on the underside of young leaves, where, after a few days of feeding, it produces distinctive cup-shaped, open galls.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about 3-4 mm long. Winged, with a yellowish-green body, initially delicate, later becoming light-brown. Males are smaller than females and have a blunt tip to the abdomen, whereas the abdomen of the female ends in a sharp point. Adults adopt a distinctive stance while feeding, with the abdomen raised at an angle of about 35° to the feeding surface.</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of the sizes of the nymphs and adults of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have been provided by Cocuzza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(2016) and Aidoo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 The EPPO Diagnostic Protocol for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provides guidance on how to detect and identify the pest (EPPO Standard PM 7/57).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distinctive cup-shaped, open galls produced by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nymphs can be used to detect its presence in recently invaded areas. These galls are produced by nymphs after a few days of feeding on young and tender leaves, and the galls remain in the leaves when the adults emerge and the leaves mature. These galls can, therefore, be used to detect the presence of the psyllid in the current and previous flushes. For the detection of nymphs and adults, monitoring should be carried out during flushing periods. In the Mediterranean Basin, there are three flushing periods for most citrus species: spring, mid-summer and late autumn. The spring flush is the most important in terms of size. However, lemon species flush throughout the year. For confirmation of the detection of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and identification of the 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yellow sticky traps or suction sampling devices can be used to capture the adults. Detailed protocols for surveillance, sampling and detection are indicated in the EPPO Standard PM 9/27 (2020)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can spread locally by natural means of dispersal, over distances of up to 1.5 km (van den Berg &amp; Deacon, 1988). Eggs and nymphs may be carried over longer distances on citrus material (budwood, grafted trees, rootstock seedlings). Both adults and nymphs can acquire the causal agent of huanglongbing, but only adults can transmit it (McClean 1974; Moll and van Vuuren 1977). The illegal introduction of plant material can lead to the introduction of the disease or the vector. Adults can survive for up to 12 days on recently harvested lemon fruits at 13.5 ± 2ºC, 85.4 ± 10% RH, under an L14 hours:D10 hours photoperiod (Urbaneja-Bernat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Introduction on citrus fruits that have passed through packing house processes involving brushing, washing and the removal of stems and leaves is unlikely.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erytreae</w:t>
      </w:r>
      <w:r>
        <w:rPr>
          <w:rFonts w:ascii="Calibri" w:hAnsi="Calibri" w:eastAsia="Calibri" w:cs="Calibri"/>
          <w:color w:val="000000"/>
          <w:sz w:val="22"/>
          <w:szCs w:val="22"/>
        </w:rPr>
        <w:t xml:space="preserve"> results principally from its role as a vector of huanglongbing, the most damaging citrus disease in the world (Gottwald, 2010). Heavy infestations with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also cause severe leaf distortion, the development of conspicuous pits on the leaf surface and the development of sooty mold on the excreted honeydew.</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active ingredients of different groups can be used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In South Africa, control is based on the use of organophosphates and neonicotinoids that are banned in Europe. A list of active ingredients, with their efficacy and mode of action against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the other vector of huanglongbing, has been published by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can enter orchards from other host plants in the surrounding vegetation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1991b), the removal of which is, therefore, recommended. </w:t>
      </w:r>
    </w:p>
    <w:p>
      <w:pPr>
        <w:widowControl w:val="on"/>
        <w:pBdr/>
        <w:spacing w:before="220" w:after="220" w:line="240" w:lineRule="auto"/>
        <w:ind w:left="0" w:right="0"/>
        <w:jc w:val="both"/>
      </w:pPr>
      <w:r>
        <w:rPr>
          <w:rFonts w:ascii="Calibri" w:hAnsi="Calibri" w:eastAsia="Calibri" w:cs="Calibri"/>
          <w:color w:val="000000"/>
          <w:sz w:val="22"/>
          <w:szCs w:val="22"/>
        </w:rPr>
        <w:t xml:space="preserve">Experience in areas to which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already has spread or into which it has recently been introduced suggests that the eradication of this species is almost impossible (Cocuzza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On Reunion Island and the Canary Islands,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has been successfully controlled by the introduction of the parasitoid </w:t>
      </w:r>
      <w:r>
        <w:rPr>
          <w:rFonts w:ascii="Calibri" w:hAnsi="Calibri" w:eastAsia="Calibri" w:cs="Calibri"/>
          <w:i/>
          <w:iCs/>
          <w:color w:val="000000"/>
          <w:sz w:val="22"/>
          <w:szCs w:val="22"/>
        </w:rPr>
        <w:t xml:space="preserve">Tamarixia dryi</w:t>
      </w:r>
      <w:r>
        <w:rPr>
          <w:rFonts w:ascii="Calibri" w:hAnsi="Calibri" w:eastAsia="Calibri" w:cs="Calibri"/>
          <w:color w:val="000000"/>
          <w:sz w:val="22"/>
          <w:szCs w:val="22"/>
        </w:rPr>
        <w:t xml:space="preserve"> from South Africa (Aubert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Hernández-Suárez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This species of parasitoid is highly specific and does not, therefore, represent an environmental risk for native psyllid species (Urbaneja-Bernat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South Africa, three primary parasitoids and numerous predators occur, but have not been found to reduce populations to economically acceptable levels, probably due to the presence of a hyperparasitoid complex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Pérez-Rodríguez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Cameroon, the psyllid is also attacked by a complex of parasitoids (Tamesse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now established in mainland Europe (Galicia in Spain and the Portuguese coast from the northern part of the country to Lisbon), but it has not yet reached the main citrus-producing areas. A study based on water vapor deficit pressure has suggested that the psyllid will be able to spread along the entire Portuguese coast to the Algarve (southern Portugal), the main citrus-producing area in Portugal (Paiva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It would probably be able to establish itself and spread in Mediterranean countries without difficulty, because citrus crops are mostly produced in areas close to the coast with a high relative humidity, but further studies are required to confirm this. In addition to its role as a vector of huanglongbing, this psyllid has a significant potential for damage in its own right. Biological control may be possible, at least on islands, but there is no guarantee that it could keep populations at sufficiently low levels to prevent transmission of huanglongbing.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Aidoo OF, Tanga CM, Paris TM, Allan SA, Mohamed SA, Khamis FM, Sétamou M, Borgemeister C, Ekesi S (2019) Size and shape analysis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(Hemiptera: Triozidae), vector of citrus huanglongbing disease.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760-771.</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3919 </w:t>
      </w:r>
      <w:hyperlink r:id="rId623067ce6b90ddb91"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Ajene I, Pietersen G, van Asch B (2020) Mitochondrial genetic variation reveals phylogeographic structure and cryptic diversity in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8893. </w:t>
      </w:r>
      <w:hyperlink r:id="rId147167ce6b90ddc27" w:history="1">
        <w:r>
          <w:rPr>
            <w:rFonts w:ascii="Calibri" w:hAnsi="Calibri" w:eastAsia="Calibri" w:cs="Calibri"/>
            <w:color w:val="0000CC"/>
            <w:sz w:val="22"/>
            <w:szCs w:val="22"/>
            <w:u w:val="single"/>
          </w:rPr>
          <w:t xml:space="preserve">https://doi.org/10.1038/s41598-020-65880-7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Aubert B, Bové JM, Etienne J (1980) La lutte contre la maladie du greening des agrumes à l'île de la Réunion. Résultats et perspectives.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605-624.</w:t>
      </w:r>
    </w:p>
    <w:p>
      <w:pPr>
        <w:widowControl w:val="on"/>
        <w:pBdr/>
        <w:spacing w:before="220" w:after="220" w:line="240" w:lineRule="auto"/>
        <w:ind w:left="0" w:right="0"/>
        <w:jc w:val="left"/>
      </w:pPr>
      <w:r>
        <w:rPr>
          <w:rFonts w:ascii="Calibri" w:hAnsi="Calibri" w:eastAsia="Calibri" w:cs="Calibri"/>
          <w:color w:val="000000"/>
          <w:sz w:val="22"/>
          <w:szCs w:val="22"/>
        </w:rPr>
        <w:t xml:space="preserve">Catling HD (1973) Notes on the biology of the South African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Entomological Society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299-306.</w:t>
      </w:r>
    </w:p>
    <w:p>
      <w:pPr>
        <w:widowControl w:val="on"/>
        <w:pBdr/>
        <w:spacing w:before="220" w:after="220" w:line="240" w:lineRule="auto"/>
        <w:ind w:left="0" w:right="0"/>
        <w:jc w:val="left"/>
      </w:pPr>
      <w:r>
        <w:rPr>
          <w:rFonts w:ascii="Calibri" w:hAnsi="Calibri" w:eastAsia="Calibri" w:cs="Calibri"/>
          <w:color w:val="000000"/>
          <w:sz w:val="22"/>
          <w:szCs w:val="22"/>
        </w:rPr>
        <w:t xml:space="preserve">Cocuzza GEM, Urbaneja A, Hernández-Suárez E, Siverio F, Di Silvestro S, Tena A, Carmelo R (2017) A review on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(African citrus psyllid), now in mainland Europe, and its potential risk as vector of “huanglongbing” (HLB) in citrus. Journal of Pest Science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w:t>
      </w:r>
      <w:hyperlink r:id="rId775067ce6b90dddb3" w:history="1">
        <w:r>
          <w:rPr>
            <w:rFonts w:ascii="Calibri" w:hAnsi="Calibri" w:eastAsia="Calibri" w:cs="Calibri"/>
            <w:color w:val="0000CC"/>
            <w:sz w:val="22"/>
            <w:szCs w:val="22"/>
            <w:u w:val="single"/>
          </w:rPr>
          <w:t xml:space="preserve">https://doi.org/doi:10.2903/sp.efsa.2019.EN-1574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that are casual agents of Huanglongbing disease of citrus and their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w:t>
      </w:r>
    </w:p>
    <w:p>
      <w:pPr>
        <w:widowControl w:val="on"/>
        <w:pBdr/>
        <w:spacing w:before="220" w:after="220" w:line="240" w:lineRule="auto"/>
        <w:ind w:left="0" w:right="0"/>
        <w:jc w:val="left"/>
      </w:pPr>
      <w:r>
        <w:rPr>
          <w:rFonts w:ascii="Calibri" w:hAnsi="Calibri" w:eastAsia="Calibri" w:cs="Calibri"/>
          <w:color w:val="000000"/>
          <w:sz w:val="22"/>
          <w:szCs w:val="22"/>
        </w:rPr>
        <w:t xml:space="preserve">Green GC, Catling HD (1971) Weather-induced mortality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vector of greening virus, in some citrus-producing areas of South Africa. </w:t>
      </w:r>
      <w:r>
        <w:rPr>
          <w:rFonts w:ascii="Calibri" w:hAnsi="Calibri" w:eastAsia="Calibri" w:cs="Calibri"/>
          <w:i/>
          <w:iCs/>
          <w:color w:val="000000"/>
          <w:sz w:val="22"/>
          <w:szCs w:val="22"/>
        </w:rPr>
        <w:t xml:space="preserve">Agricultural 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305-317.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Hernández-Suárez E, Pérez-Rodríguez J, Suárez-Méndez L, Urbaneja-Bernat P, Rizza R, Siverio F, Piedra-Buena A, Urbaneja A, Tena, A (2020) Control de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en las Islas Canarias por el parasitoide </w:t>
      </w:r>
      <w:r>
        <w:rPr>
          <w:rFonts w:ascii="Calibri" w:hAnsi="Calibri" w:eastAsia="Calibri" w:cs="Calibri"/>
          <w:i/>
          <w:iCs/>
          <w:color w:val="000000"/>
          <w:sz w:val="22"/>
          <w:szCs w:val="22"/>
        </w:rPr>
        <w:t xml:space="preserve">Tamarixia dryi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 España </w:t>
      </w:r>
      <w:r>
        <w:rPr>
          <w:rFonts w:ascii="Calibri" w:hAnsi="Calibri" w:eastAsia="Calibri" w:cs="Calibri"/>
          <w:b/>
          <w:bCs/>
          <w:color w:val="000000"/>
          <w:sz w:val="22"/>
          <w:szCs w:val="22"/>
        </w:rPr>
        <w:t xml:space="preserve">319</w:t>
      </w:r>
      <w:r>
        <w:rPr>
          <w:rFonts w:ascii="Calibri" w:hAnsi="Calibri" w:eastAsia="Calibri" w:cs="Calibri"/>
          <w:color w:val="000000"/>
          <w:sz w:val="22"/>
          <w:szCs w:val="22"/>
        </w:rPr>
        <w:t xml:space="preserve">, 28-32.</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Oberholzer PCJ (1965) Citrus psylla, a vector of the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w:t>
      </w:r>
    </w:p>
    <w:p>
      <w:pPr>
        <w:widowControl w:val="on"/>
        <w:pBdr/>
        <w:spacing w:before="220" w:after="220" w:line="240" w:lineRule="auto"/>
        <w:ind w:left="0" w:right="0"/>
        <w:jc w:val="left"/>
      </w:pPr>
      <w:r>
        <w:rPr>
          <w:rFonts w:ascii="Calibri" w:hAnsi="Calibri" w:eastAsia="Calibri" w:cs="Calibri"/>
          <w:color w:val="000000"/>
          <w:sz w:val="22"/>
          <w:szCs w:val="22"/>
        </w:rPr>
        <w:t xml:space="preserve">Paiva PEB, Cota T, Neto L, Soares C, Tomás JC, Duarte A (2020) Water vapor pressure deficit in Portugal and implications for the development of the invasive African citrus psyllid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11</w:t>
      </w:r>
      <w:r>
        <w:rPr>
          <w:rFonts w:ascii="Calibri" w:hAnsi="Calibri" w:eastAsia="Calibri" w:cs="Calibri"/>
          <w:color w:val="000000"/>
          <w:sz w:val="22"/>
          <w:szCs w:val="22"/>
        </w:rPr>
        <w:t xml:space="preserve">, 229.</w:t>
      </w:r>
    </w:p>
    <w:p>
      <w:pPr>
        <w:widowControl w:val="on"/>
        <w:pBdr/>
        <w:spacing w:before="220" w:after="220" w:line="240" w:lineRule="auto"/>
        <w:ind w:left="0" w:right="0"/>
        <w:jc w:val="left"/>
      </w:pPr>
      <w:r>
        <w:rPr>
          <w:rFonts w:ascii="Calibri" w:hAnsi="Calibri" w:eastAsia="Calibri" w:cs="Calibri"/>
          <w:color w:val="000000"/>
          <w:sz w:val="22"/>
          <w:szCs w:val="22"/>
        </w:rPr>
        <w:t xml:space="preserve">Pérez-Rodríguez J, Krüger K, Pérez-Hedo M, Ruíz-Rivero O, Urbaneja A, Tena A (2019) Classical biological control of the African citrus psyllid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major threat to the European citrus industry. Scientific Reports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9440.</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Kostyk BC, Stansly PA (2014) Insecticidal suppression of Asian citrus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Liviidae) vector of huanglongbing pathogens.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9</w:t>
      </w:r>
      <w:r>
        <w:rPr>
          <w:rFonts w:ascii="Calibri" w:hAnsi="Calibri" w:eastAsia="Calibri" w:cs="Calibri"/>
          <w:color w:val="000000"/>
          <w:sz w:val="22"/>
          <w:szCs w:val="22"/>
        </w:rPr>
        <w:t xml:space="preserve">(12).</w:t>
      </w:r>
    </w:p>
    <w:p>
      <w:pPr>
        <w:widowControl w:val="on"/>
        <w:pBdr/>
        <w:spacing w:before="220" w:after="220" w:line="240" w:lineRule="auto"/>
        <w:ind w:left="0" w:right="0"/>
        <w:jc w:val="left"/>
      </w:pPr>
      <w:r>
        <w:rPr>
          <w:rFonts w:ascii="Calibri" w:hAnsi="Calibri" w:eastAsia="Calibri" w:cs="Calibri"/>
          <w:color w:val="000000"/>
          <w:sz w:val="22"/>
          <w:szCs w:val="22"/>
        </w:rPr>
        <w:t xml:space="preserve">Schwarz RE, Green GC (1970) Citrus greening and the citrus psyllid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temperature-dependent agent-vector complex.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490-493.</w:t>
      </w:r>
    </w:p>
    <w:p>
      <w:pPr>
        <w:widowControl w:val="on"/>
        <w:pBdr/>
        <w:spacing w:before="220" w:after="220" w:line="240" w:lineRule="auto"/>
        <w:ind w:left="0" w:right="0"/>
        <w:jc w:val="left"/>
      </w:pPr>
      <w:r>
        <w:rPr>
          <w:rFonts w:ascii="Calibri" w:hAnsi="Calibri" w:eastAsia="Calibri" w:cs="Calibri"/>
          <w:color w:val="000000"/>
          <w:sz w:val="22"/>
          <w:szCs w:val="22"/>
        </w:rPr>
        <w:t xml:space="preserve">Tamesse JL (2009) Key for identification of the Hymenopteran parasitoids of the African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(Hemiptera: Triozidae) in Cameroon. African Journal of Agricultural Research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85–91.</w:t>
      </w:r>
    </w:p>
    <w:p>
      <w:pPr>
        <w:widowControl w:val="on"/>
        <w:pBdr/>
        <w:spacing w:before="220" w:after="220" w:line="240" w:lineRule="auto"/>
        <w:ind w:left="0" w:right="0"/>
        <w:jc w:val="left"/>
      </w:pPr>
      <w:r>
        <w:rPr>
          <w:rFonts w:ascii="Calibri" w:hAnsi="Calibri" w:eastAsia="Calibri" w:cs="Calibri"/>
          <w:color w:val="000000"/>
          <w:sz w:val="22"/>
          <w:szCs w:val="22"/>
        </w:rPr>
        <w:t xml:space="preserve">Urbaneja-Bernat P, Hernández-Suárez E, Urbaneja A, Tena A (2020) Preventive measures to limit the spread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(Hemiptera: Psyllidae) in mainland Europe. </w:t>
      </w:r>
      <w:r>
        <w:rPr>
          <w:rFonts w:ascii="Calibri" w:hAnsi="Calibri" w:eastAsia="Calibri" w:cs="Calibri"/>
          <w:i/>
          <w:iCs/>
          <w:color w:val="000000"/>
          <w:sz w:val="22"/>
          <w:szCs w:val="22"/>
        </w:rPr>
        <w:t xml:space="preserve">Journal of Applied Entomology. </w:t>
      </w:r>
      <w:hyperlink r:id="rId985767ce6b90de2a3" w:history="1">
        <w:r>
          <w:rPr>
            <w:rFonts w:ascii="Calibri" w:hAnsi="Calibri" w:eastAsia="Calibri" w:cs="Calibri"/>
            <w:color w:val="0000CC"/>
            <w:sz w:val="22"/>
            <w:szCs w:val="22"/>
            <w:u w:val="single"/>
          </w:rPr>
          <w:t xml:space="preserve">https://doi.org/10.1111/jen.12771</w:t>
        </w:r>
      </w:hyperlink>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Urbaneja-Bernat P, Pérez-Rodríguez J, Krüger K, Catalán J, Rizza R, Hernández-Suárez E, Urbaneja A, Tena A (2019) Host range testing of </w:t>
      </w:r>
      <w:r>
        <w:rPr>
          <w:rFonts w:ascii="Calibri" w:hAnsi="Calibri" w:eastAsia="Calibri" w:cs="Calibri"/>
          <w:i/>
          <w:iCs/>
          <w:color w:val="000000"/>
          <w:sz w:val="22"/>
          <w:szCs w:val="22"/>
        </w:rPr>
        <w:t xml:space="preserve">Tamarixia dryi</w:t>
      </w:r>
      <w:r>
        <w:rPr>
          <w:rFonts w:ascii="Calibri" w:hAnsi="Calibri" w:eastAsia="Calibri" w:cs="Calibri"/>
          <w:color w:val="000000"/>
          <w:sz w:val="22"/>
          <w:szCs w:val="22"/>
        </w:rPr>
        <w:t xml:space="preserve"> (Hymenoptera: Eulophidae) sourced from South Africa for classical biological control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(Hemiptera: Psyllidae) in Europe.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110-116.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(1990)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171-194.</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(1988) Dispersal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the absence of its host plants.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361-368.</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Fletcher CD (1988) A bibliography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up to 1987.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47-61.</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Fourie CJ, Anderson SH (1987) Predators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the Lowveld and Rustenburg areas of Transvaal.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285-289.</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Jager K de (1990) Ecology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1. Daily activities and habits of adults. 2. Egg hatching and moulting.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323-328, 329-333.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Thomas CD (1991a) Ecology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3. Mating, fertility and oviposition.</w:t>
      </w:r>
      <w:r>
        <w:rPr>
          <w:rFonts w:ascii="Calibri" w:hAnsi="Calibri" w:eastAsia="Calibri" w:cs="Calibri"/>
          <w:i/>
          <w:iCs/>
          <w:color w:val="000000"/>
          <w:sz w:val="22"/>
          <w:szCs w:val="22"/>
        </w:rPr>
        <w:t xml:space="preserve"> 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195-200.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Steenekamp PJ (1991b) Dispersal within and between citrus orchards and native hosts, and nymphal mortality of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297-309.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Alejandro Tena from Instituto Valenciano de Investigaciones Agrarias (IVIA), Moncada, Valencia, Spain.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EPPO datasheets on pests recommended for regulation. Available online. </w:t>
      </w:r>
      <w:hyperlink r:id="rId306567ce6b90de77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(1988) Data sheets on quarantine organisms No. 151, Citrus greening bacterium and its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color w:val="000000"/>
          <w:sz w:val="22"/>
          <w:szCs w:val="22"/>
        </w:rPr>
        <w:t xml:space="preserve">18, 497-507.</w:t>
      </w:r>
    </w:p>
    <w:p>
      <w:r>
        <w:drawing>
          <wp:inline distT="0" distB="0" distL="0" distR="0">
            <wp:extent cx="1800000" cy="604800"/>
            <wp:docPr id="26840957" name="name432667ce6b90de96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0167ce6b90de96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078763">
    <w:multiLevelType w:val="hybridMultilevel"/>
    <w:lvl w:ilvl="0" w:tplc="71446829">
      <w:start w:val="1"/>
      <w:numFmt w:val="decimal"/>
      <w:lvlText w:val="%1."/>
      <w:lvlJc w:val="left"/>
      <w:pPr>
        <w:ind w:left="720" w:hanging="360"/>
      </w:pPr>
    </w:lvl>
    <w:lvl w:ilvl="1" w:tplc="71446829" w:tentative="1">
      <w:start w:val="1"/>
      <w:numFmt w:val="lowerLetter"/>
      <w:lvlText w:val="%2."/>
      <w:lvlJc w:val="left"/>
      <w:pPr>
        <w:ind w:left="1440" w:hanging="360"/>
      </w:pPr>
    </w:lvl>
    <w:lvl w:ilvl="2" w:tplc="71446829" w:tentative="1">
      <w:start w:val="1"/>
      <w:numFmt w:val="lowerRoman"/>
      <w:lvlText w:val="%3."/>
      <w:lvlJc w:val="right"/>
      <w:pPr>
        <w:ind w:left="2160" w:hanging="180"/>
      </w:pPr>
    </w:lvl>
    <w:lvl w:ilvl="3" w:tplc="71446829" w:tentative="1">
      <w:start w:val="1"/>
      <w:numFmt w:val="decimal"/>
      <w:lvlText w:val="%4."/>
      <w:lvlJc w:val="left"/>
      <w:pPr>
        <w:ind w:left="2880" w:hanging="360"/>
      </w:pPr>
    </w:lvl>
    <w:lvl w:ilvl="4" w:tplc="71446829" w:tentative="1">
      <w:start w:val="1"/>
      <w:numFmt w:val="lowerLetter"/>
      <w:lvlText w:val="%5."/>
      <w:lvlJc w:val="left"/>
      <w:pPr>
        <w:ind w:left="3600" w:hanging="360"/>
      </w:pPr>
    </w:lvl>
    <w:lvl w:ilvl="5" w:tplc="71446829" w:tentative="1">
      <w:start w:val="1"/>
      <w:numFmt w:val="lowerRoman"/>
      <w:lvlText w:val="%6."/>
      <w:lvlJc w:val="right"/>
      <w:pPr>
        <w:ind w:left="4320" w:hanging="180"/>
      </w:pPr>
    </w:lvl>
    <w:lvl w:ilvl="6" w:tplc="71446829" w:tentative="1">
      <w:start w:val="1"/>
      <w:numFmt w:val="decimal"/>
      <w:lvlText w:val="%7."/>
      <w:lvlJc w:val="left"/>
      <w:pPr>
        <w:ind w:left="5040" w:hanging="360"/>
      </w:pPr>
    </w:lvl>
    <w:lvl w:ilvl="7" w:tplc="71446829" w:tentative="1">
      <w:start w:val="1"/>
      <w:numFmt w:val="lowerLetter"/>
      <w:lvlText w:val="%8."/>
      <w:lvlJc w:val="left"/>
      <w:pPr>
        <w:ind w:left="5760" w:hanging="360"/>
      </w:pPr>
    </w:lvl>
    <w:lvl w:ilvl="8" w:tplc="71446829" w:tentative="1">
      <w:start w:val="1"/>
      <w:numFmt w:val="lowerRoman"/>
      <w:lvlText w:val="%9."/>
      <w:lvlJc w:val="right"/>
      <w:pPr>
        <w:ind w:left="6480" w:hanging="180"/>
      </w:pPr>
    </w:lvl>
  </w:abstractNum>
  <w:abstractNum w:abstractNumId="39078762">
    <w:multiLevelType w:val="hybridMultilevel"/>
    <w:lvl w:ilvl="0" w:tplc="133708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078762">
    <w:abstractNumId w:val="39078762"/>
  </w:num>
  <w:num w:numId="39078763">
    <w:abstractNumId w:val="390787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6864811" Type="http://schemas.microsoft.com/office/2011/relationships/commentsExtended" Target="commentsExtended.xml"/><Relationship Id="rId158527186" Type="http://schemas.microsoft.com/office/2011/relationships/people" Target="people.xml"/><Relationship Id="rId305067ce6b90db2f4" Type="http://schemas.openxmlformats.org/officeDocument/2006/relationships/hyperlink" Target="https://gd.eppo.int/taxon/TRIZER/" TargetMode="External"/><Relationship Id="rId632967ce6b90db35e" Type="http://schemas.openxmlformats.org/officeDocument/2006/relationships/hyperlink" Target="https://gd.eppo.int/taxon/TRIZER/categorization" TargetMode="External"/><Relationship Id="rId375367ce6b90dbc70" Type="http://schemas.openxmlformats.org/officeDocument/2006/relationships/hyperlink" Target="https://gd.eppo.int/taxon/TRIZER/photos" TargetMode="External"/><Relationship Id="rId623067ce6b90ddb91" Type="http://schemas.openxmlformats.org/officeDocument/2006/relationships/hyperlink" Target="https://doi.org/10.1038/s41598-020-60712-0" TargetMode="External"/><Relationship Id="rId147167ce6b90ddc27" Type="http://schemas.openxmlformats.org/officeDocument/2006/relationships/hyperlink" Target="https://doi.org/10.1038/s41598-020-65880-7" TargetMode="External"/><Relationship Id="rId775067ce6b90dddb3" Type="http://schemas.openxmlformats.org/officeDocument/2006/relationships/hyperlink" Target="https://doi.org/doi:10.2903/sp.efsa.2019.EN-1574" TargetMode="External"/><Relationship Id="rId985767ce6b90de2a3" Type="http://schemas.openxmlformats.org/officeDocument/2006/relationships/hyperlink" Target="https://doi.org/10.1111/jen.12771" TargetMode="External"/><Relationship Id="rId306567ce6b90de771" Type="http://schemas.openxmlformats.org/officeDocument/2006/relationships/hyperlink" Target="https://gd.eppo.int" TargetMode="External"/><Relationship Id="rId944267ce6b90dbb3a" Type="http://schemas.openxmlformats.org/officeDocument/2006/relationships/image" Target="media/imgrId944267ce6b90dbb3a.jpg"/><Relationship Id="rId431467ce6b90dce37" Type="http://schemas.openxmlformats.org/officeDocument/2006/relationships/image" Target="media/imgrId431467ce6b90dce37.jpg"/><Relationship Id="rId820167ce6b90de969" Type="http://schemas.openxmlformats.org/officeDocument/2006/relationships/image" Target="media/imgrId820167ce6b90de96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