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Daktulosphaira vitifoliae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Daktulosphaira vitifoliae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Phylloxeridae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Dactylosphaera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Dactylosphaera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Pemphigus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Peritymbia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pemphigoides</w:t>
            </w:r>
            <w:r>
              <w:rPr>
                <w:rFonts w:ascii="Calibri" w:hAnsi="Calibri" w:eastAsia="Calibri" w:cs="Calibri"/>
                <w:color w:val="000000"/>
                <w:position w:val="-3"/>
                <w:sz w:val="22"/>
                <w:szCs w:val="22"/>
              </w:rPr>
              <w:t xml:space="preserve"> Donnadieu, </w:t>
            </w:r>
            <w:r>
              <w:rPr>
                <w:rFonts w:ascii="Calibri" w:hAnsi="Calibri" w:eastAsia="Calibri" w:cs="Calibri"/>
                <w:i/>
                <w:iCs/>
                <w:color w:val="000000"/>
                <w:position w:val="-3"/>
                <w:sz w:val="22"/>
                <w:szCs w:val="22"/>
              </w:rPr>
              <w:t xml:space="preserve">Phylloxera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Rhizaphis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Viteus vitifoliae</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grapevine leaf louse, grapevine louse, grapevine phylloxera, vine louse</w:t>
            </w:r>
            <w:hyperlink r:id="rId7190669e76b3622a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9261669e76b36231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VITEVI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201918" name="name3951669e76b362961" descr="1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3.jpg"/>
                          <pic:cNvPicPr/>
                        </pic:nvPicPr>
                        <pic:blipFill>
                          <a:blip r:embed="rId1716669e76b36295f" cstate="print"/>
                          <a:stretch>
                            <a:fillRect/>
                          </a:stretch>
                        </pic:blipFill>
                        <pic:spPr>
                          <a:xfrm>
                            <a:off x="0" y="0"/>
                            <a:ext cx="2160000" cy="1281600"/>
                          </a:xfrm>
                          <a:prstGeom prst="rect">
                            <a:avLst/>
                          </a:prstGeom>
                          <a:ln w="0">
                            <a:noFill/>
                          </a:ln>
                        </pic:spPr>
                      </pic:pic>
                    </a:graphicData>
                  </a:graphic>
                </wp:inline>
              </w:drawing>
            </w:r>
            <w:hyperlink r:id="rId7903669e76b362a6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is recognized as a single species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although variability in reproductive biology and feeding behaviour has been observed between the currently recognized “biotypes”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economic host 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or ungrafted) which is used for wine, table grape and raisin production. Additional hosts include interspecific hybrids for grapevine production (grafted) and abandoned rootstocks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that form leaves).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are described in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large differences in tolerance or resistance between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extremely susceptible to attack by the </w:t>
      </w:r>
      <w:r>
        <w:rPr>
          <w:rFonts w:ascii="Calibri" w:hAnsi="Calibri" w:eastAsia="Calibri" w:cs="Calibri"/>
          <w:i/>
          <w:iCs/>
          <w:color w:val="000000"/>
          <w:sz w:val="22"/>
          <w:szCs w:val="22"/>
        </w:rPr>
        <w:t xml:space="preserve">root-feeding</w:t>
      </w:r>
      <w:r>
        <w:rPr>
          <w:rFonts w:ascii="Calibri" w:hAnsi="Calibri" w:eastAsia="Calibri" w:cs="Calibri"/>
          <w:color w:val="000000"/>
          <w:sz w:val="22"/>
          <w:szCs w:val="22"/>
        </w:rPr>
        <w:t xml:space="preserve"> form (see Biology) but the leaves have usually been found to be resistant, whereas the American (with a few exceptions) and some Asian species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tolerate extensive galling of the leaves and are tolerant of root attack (e.g. Downie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Lawo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this reason, the American species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is widely used in interspecific hybrid rootstock production. Other American species are partially resistant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or susceptible (</w:t>
      </w:r>
      <w:r>
        <w:rPr>
          <w:rFonts w:ascii="Calibri" w:hAnsi="Calibri" w:eastAsia="Calibri" w:cs="Calibri"/>
          <w:i/>
          <w:iCs/>
          <w:color w:val="000000"/>
          <w:sz w:val="22"/>
          <w:szCs w:val="22"/>
        </w:rPr>
        <w:t xml:space="preserve">V. labrusca</w:t>
      </w:r>
      <w:r>
        <w:rPr>
          <w:rFonts w:ascii="Calibri" w:hAnsi="Calibri" w:eastAsia="Calibri" w:cs="Calibri"/>
          <w:color w:val="000000"/>
          <w:sz w:val="22"/>
          <w:szCs w:val="22"/>
        </w:rPr>
        <w:t xml:space="preserve">) to root-borne damage.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now widely grown throughout the EPPO region but is generally grafted onto rootstocks which are resistant to root-feeding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Some observations have shown that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vines or interspecific hybrids thereof, in particular in recent years, are infested by leaf-feeding (gallicole) grapevine phylloxera (Jubb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Stevenson &amp; Jubb, 1976;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commercial vineyards which seems contrary to the feeding behaviour on this host mentioned earlier. The underlying causes in the change in this behaviour may be environmental, vineyard management (decreased pesticide application) and grapevine phylloxera biotypes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and are not yet clear.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girdiana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heyneana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is native to North America and was introduced into Europe in the second half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It has continued to spread throughout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is now found in all wine growing areas worldwide. Grapevine phylloxera occurs in cultivated vineyards, often feeding on roots (of rootstocks) and infections may be latent (in particular with the use of resistant hosts).</w:t>
      </w:r>
    </w:p>
    <w:p>
      <w:r>
        <w:drawing>
          <wp:inline distT="0" distB="0" distL="0" distR="0">
            <wp:extent cx="6120000" cy="3067200"/>
            <wp:docPr id="17585416" name="name6419669e76b363e13" descr="VITE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VI_distribution_map.jpg"/>
                    <pic:cNvPicPr/>
                  </pic:nvPicPr>
                  <pic:blipFill>
                    <a:blip r:embed="rId9945669e76b363e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Armenia, Austria, Azerbaijan, Bosnia and Herzegovina, Bulgaria, Croatia, Czech Republic, France (mainland, Corse), Georgia, Germany, Greece (mainland), Hungary, Israel, Italy (mainland, Sardegna, Sicilia), Jordan, Luxembourg, Malta, Moldova, Montenegro, Morocco, North Macedonia, Poland, Portugal (mainland, Azores, Madeira), Romania, Russia (Southern Russia), Serbia, Slovakia, Slovenia, Spain (mainland, Islas Baleares),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(Hunan, Shaanxi, Shanghai), India (Jammu &amp; Kashmir), Israel, Japan (Hokkaido, Honshu, Kyushu, Shikoku), Jordan, Korea Dem. People's Republic,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Québec), Mexico, United States of America (Arizona, Arkansas, California, Connecticut, New Mexico, New York, Ohio, Pennsylvania,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Minas Gerais, Parana, Pernambuco, Rio de Janeiro, Rio Grande do Sul, Santa Catarina, Sao Paulo),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has a complex lifecycle with several variants (reviewed in Forneck &amp; Huber, 2009; see also life cycle provided at </w:t>
      </w:r>
      <w:hyperlink r:id="rId8678669e76b3640f1" w:history="1">
        <w:r>
          <w:rPr>
            <w:rFonts w:ascii="Calibri" w:hAnsi="Calibri" w:eastAsia="Calibri" w:cs="Calibri"/>
            <w:color w:val="0000CC"/>
            <w:sz w:val="22"/>
            <w:szCs w:val="22"/>
            <w:u w:val="single"/>
          </w:rPr>
          <w:t xml:space="preserve">https://gd.eppo.int/taxon/VITEVI/photos</w:t>
        </w:r>
      </w:hyperlink>
      <w:r>
        <w:rPr>
          <w:rFonts w:ascii="Calibri" w:hAnsi="Calibri" w:eastAsia="Calibri" w:cs="Calibri"/>
          <w:color w:val="000000"/>
          <w:sz w:val="22"/>
          <w:szCs w:val="22"/>
        </w:rPr>
        <w:t xml:space="preserve"> - Forneck &amp; Bauer, 2020). On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vitifoliae</w:t>
      </w:r>
      <w:r>
        <w:rPr>
          <w:rFonts w:ascii="Calibri" w:hAnsi="Calibri" w:eastAsia="Calibri" w:cs="Calibri"/>
          <w:color w:val="000000"/>
          <w:sz w:val="22"/>
          <w:szCs w:val="22"/>
        </w:rPr>
        <w:t xml:space="preserve"> lives on the roots and leaves and has a full reproductive cycle (holocycle) of development with the presence of parthenogenetic and sexual forms of the phylloxerid. This full cycle involves migration from the roots to the leaves and back to the roots, as well as an alternation of parthenogenetic and sexual reproduction. On grafted and own-rooted cultivars of the European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the phylloxerid normally infests only the root parts of the plant and undergoes an incomplete (parthenogenic) cycle of seasonal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hibernates as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and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instar nymphs (hibernales) on the root system, either in galled or on non-galled root tissues (Davidson &amp; Nougaret, 1921) and on the lignified trunk below soil. The so-called hibernating morphs survive the winter without feeding. The limiting conditions, mainly temperatures, are not well understood. In spring they regain activity, molt and continue the asexual cycle on the roots (radicole) and leaves (gallicole) of the vines (anholocycle). They continue to multiply parthenogenetically through the summer until autumn. Sexuparous forms appear and migrate (see Pathways for movement), however it is not clear if the sexual cycle is completed in commercial vineyards.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may also overwinter as a dormant winter egg produced by sexual recombination (holocycle) which is highly resistant to low winter temperatures on the trunk (below the bark) of the above soil parts of the vine. During the growing season the holocycle is induced in root-feeding larvae. Winged morphs leave the ground and lay eggs on above soil plant parts of the vine. The eggs hatch and produce sexual male and female morphs that mate and the females lay one egg (winter egg) (Rübsaamen &amp; Ritter, 1900). In this full reproductive cycle, winter eggs on the stems hatch in spring, after the foliage has come out, and the yellow phylloxerids developing from these eggs,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form, migrate to the leaves, where they begin feeding, thus causing the formation of galls. As soon as the phylloxerids mature, they lay numerous, up to 400-600 eggs inside each gall. There are four to six generations of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during the growing season. Individuals of the generations of these leaf-feeding phylloxerids migrate to the ground and burrow beneath the soil to the fine roots, where they can live for a number of parthenogenetic generations, before a new holocycle may be initiated.</w:t>
      </w:r>
    </w:p>
    <w:p>
      <w:pPr>
        <w:widowControl w:val="on"/>
        <w:pBdr/>
        <w:spacing w:before="220" w:after="220" w:line="240" w:lineRule="auto"/>
        <w:ind w:left="0" w:right="0"/>
        <w:jc w:val="both"/>
      </w:pPr>
      <w:r>
        <w:rPr>
          <w:rFonts w:ascii="Calibri" w:hAnsi="Calibri" w:eastAsia="Calibri" w:cs="Calibri"/>
          <w:color w:val="000000"/>
          <w:sz w:val="22"/>
          <w:szCs w:val="22"/>
        </w:rPr>
        <w:t xml:space="preserve">Even very severe winter conditions do not kill the winter eggs.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can theoretically survive under all climatic conditions tolerated by its host plant. Few studies are available on the temperature window of hibernation of root-feeding grapevine phylloxera, which was reported to occur below 19°C (Davidson &amp; Nougaret, 1921), whereas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found hibernales becoming active as soil temperatures exceeded 17°C.</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temperature affecting the root-feeding grapevine phylloxera population growth see Maillet, 1957; Rilling, 1964; Daris, 1970; Bovey, 1972; Gorkavenko, 1975; Gorkavenko &amp; Gorkavenko, 1977; Granett &amp; Timper, 1987; Skinkis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Powell, 2012;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published and anecdotal information related to the grapevine phylloxera distribution in soil focuses on textural properties, particularly on the ratio of sand to clay content. Historically, sandy soils were reported to decrease root-feeding grapevine phylloxera (for a review: see Devitz, 1919) and may permit the use of own-rooted viticulture, as long as extended flooding periods are used to irrigate the vines (Torregrosa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As shown by Reisenzein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further and combined effects of soil pH, organic carbon and soil texture also affect abundance of grapevine phylloxera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shoot/leaves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feeding on the upper side of young (meristematic) leaves induce a leaf gall on the lower side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pocket-like galls are the size of peas and remain open at the adaxial side. Although leaf galling by grapevine phylloxera does not always cause significant losses in grape production, severe infestations do cause considerable distortion and leaf drop of affected leaves in subsequent years.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root system/fine roots</w:t>
      </w:r>
      <w:r>
        <w:rPr>
          <w:rFonts w:ascii="Calibri" w:hAnsi="Calibri" w:eastAsia="Calibri" w:cs="Calibri"/>
          <w:color w:val="000000"/>
          <w:sz w:val="22"/>
          <w:szCs w:val="22"/>
        </w:rPr>
        <w:t xml:space="preserve">: Root infestation symptoms include tuberosities, crater-like swellings on mature lignified roots and nodosities, hook-like swelling that are formed on the root tip of young and fibrous roots. Mainly, tuberosities lead to a further decay by destructive soil borne pathogens, lead to a decrease of vigour and eventual death of the vines within 3-10 years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Nodosities on the root tips normally do not cause severe damage to the vines and are observed on most American rootstock hybrids that are being used in commercial viticulture.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Globular phylloxerid, 1.6-1.8 mm long and 1-1.2 mm wide; cephalothorax widened and its dorsal face rounded off; abdomen tapers off and is slightly splayed posteriorly; antennae composed of three segments, the 3rd one being the most developed and provided with a large primary latero-external sensorium; the processus terminalis is short and broad, little differentiated at its base, having a length which is one-third in excess of that of the 3rd segment (dimension taken from the base of the sensorium to the tip of the antenna, excluding the apiales); dorsal cuticle is rough, but entirely free from tubercles. The rostrum reaches the femora of the foremost legs. The root-feeding adult is smaller, being about 1 mm in length. It is distinguished by the presence of tubercles on the dorsal surface, 12 on the head, 28 on the thorax and 30 on the abdomen. On the antenna, the processus terminalis is well differentiated and much finer than that of the leaf-feeding form (e.g. Kingston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The eggs are 300-330 x 160-170 µm, have an oval form and range from bright yellow to dark yellow or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four larval stages have the same general external morphology as the adult. In the later stages, the width of the body increases more rapidly than the length, and the body thus becomes rounder in outline. Similarly, the size of the legs and antennae does not increase at the same rate as that of the body; they therefore appear smaller in the later stages. From the second stage onwards, the tubercles on the dorsal surface become more obvious. Larval stages (winged forms are described and reviewed in detail in Forneck &amp; Huber,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and roots are used as indicators for the presence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on the vine.</w:t>
      </w:r>
    </w:p>
    <w:p>
      <w:pPr>
        <w:widowControl w:val="on"/>
        <w:pBdr/>
        <w:spacing w:before="220" w:after="220" w:line="240" w:lineRule="auto"/>
        <w:ind w:left="0" w:right="0"/>
        <w:jc w:val="both"/>
      </w:pPr>
      <w:r>
        <w:rPr>
          <w:rFonts w:ascii="Calibri" w:hAnsi="Calibri" w:eastAsia="Calibri" w:cs="Calibri"/>
          <w:color w:val="000000"/>
          <w:sz w:val="22"/>
          <w:szCs w:val="22"/>
        </w:rPr>
        <w:t xml:space="preserve">Predominant conventional methods to detect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are conducting a ground survey (visual inspection of the root system), looking for the insects and associated root symptoms (nodosities, tuberosities) employing a shovel and hand lens. More sensitive approaches are being used in order to detect grapevine phylloxera DNA in soil samples (Herbert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Giblot-Ducray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trapping techniques to monitor dispersal stages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These traps (pitfall, sticky, or emergence) are easy to use, simply constructed and allow the quantification of migrating grapevine phylloxera in the field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Indirect techniques, such as monitoring stress symptoms (decreased vigour) are being tested but yet not confirmed and still in development (e.g. Blanchfield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Sticky traps for wind-blown dispersal should be located 1.3 – 1.5m above ground). Insect samples may be quickly identified with lab- or field compatible LAMP diagnostic assays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Phytosanitary procedures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provided in EPPO Standard PM 3/85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by natural means is limited by life-stage and feeding site of the insect. If it remains mostly confined to the root system in the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form (as it does in commercial Vineyards), natural spread is limited. In areas where both root-feeding and leaf-feeding occurs (Rilling, 1964;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first instars (crawlers) may migrate from root to leaves, and vice versa. Winged forms may actively migrate over longer distances in (or between) vineyards up to 100m per year. Crawlers may passively spread by being wind-blown from the foliage (EFSA PLH Panel,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occurs within vineyards by human assistance. Crawlers (both root- and leaf-feeding) may be spread through equipment and machinery among fields and regions. The movement occurs via soil, leaf material and (rarely) in harvested fruits. Human mediated spread via planting material pathways may occur on rooted grapevines (as hibernating crawlers on roots/winter egg on bark), dormant cane (without roots) or potted vines (with roots and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25 years of the introduction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into France from America (about 1860) it had destroyed nearly one-third of the vineyards in the country – more than 100 000 ha – with incalculable economic and social consequences, caused by the fact that European grapevine cultivars then grown were highly susceptible. These were subsequently replaced with European cultivars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on American rootstocks, a practice which is now almost universal wherever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occurs. The pest remains especially threatening for the few regions where susceptible grape cultivars are still cultivated on their own roots (rather than on resistant rootstocks). The pest is also more damaging in vineyards, soon after replantation, and damage is less significant on vigorous vines over 10 years old. Leaf infestation is reported to recently be increasing in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and interspecific hybrids thereof (e.g.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2021b), and environmental factors (climate change), the decreased pesticide usage and the development of grapevine phylloxera biotypes may play a role. Few studies on the economic (short and long-term) effects of the pest, when feeding on leaves and producing leaf galls, on yield and wine quality, exist. The experimental set up (insecticide treatment of infested vines or artificial infestation of non-infested vines) as well as the severity and time period seem to have an influence on the outcomes of these studies. Contradictory results were found: positive effects were shown in treated vines (against leaf-feeding grapevine phylloxera) by Schvester (1959), whereas Stevenson (1970a) found no significant effects in the same experimental set up. No negative effects in fruit quality measures in leaf-galled vines were found by Strapazzon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Strapazzon &amp; Girolami (1985b) and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McLeoad (1990) found negative effects caused by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when vines were artificially infested before 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rootstocks has been the main and most successful long-term control measure to date. However, recent studies indicate that this practice might become less effective in future as new biotypes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develop (King &amp; Rilling, 1958;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Williams &amp; Shambaugh, 1988;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that are feeding aggressively on rootstocks (e.g. AXR’1, Teleki 5C). Other management options should be considered in the short term to suppress grapevine phylloxera (leaf- and/or root-feeding) populations, as well as the use of grapevine phylloxera free plant material treated with phytosanitary treatments (e.g. hot water treatments, fumigation; see EPPO Standards PM 10/16 (EPPO, 2009) and PM 10/20 (EPPO, 2012)). Schemes for certification of grapevine planting material (EPPO Standard PM 4/8; EPPO, 2008) should provide a simple means of ensuring that all traded grapevine planting material is free from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Effective chemical controls against both leaf- and root-feeding morphs in the field are not available (due to world-wide regulations); for a review, see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important viticultural regions which remain free from grapevine phylloxera is now very limited. Within the EPPO region, these include for example Cyprus. A few vineyards in the United Kingdom (where many grapevines have been planted in the 1980s) are subject to statutory eradication procedures following pest infestations. In the context of climate change, new wine growing areas will be established in which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introductions should be avoided in order to try to prevent new grapevine phylloxera biotypes from forming.</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the insect is extremely difficult and costly to eradicate. Due to the asymptomatic spread of grapevine phylloxera on tolerant rootstocks and the fact that grapevine phylloxera cannot be currently eradicated from vineyards or from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neighbouring landscapes, the population size generally is increasing. Furthermore, in the traditional grape-growing areas leaf feeding grapevine phylloxera populations are now occurring (see above) and dramatically increase both the population pressure and degree of migrations within and among vineyards. Thirdly, the increased usage of fungus resistant grapevine cultivars (interspecific hybrids) that are adapted first to climate change conditions will ultimately increase the grapevine phylloxera leaf feeding populations since they are more susceptible to grapevine phylloxera leaf feeding as well (see the examples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bred for cold hardiness referred to in the comments of the Host plants section of EPPO GD).</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risk is the introduction or appearance of possible new biotypes of the pest, presenting a threat to grape-growing countries within EPPO. The establishment of new biotypes which have overcome the resistance of certain rootstock cultivars could lead to a dramatic change in the phytosanitary situation in European/Mediterranean vineyards.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has been one of the classic objects of phytosanitary regulations, leading to the first international measures and agreements for phytosanitary purposes in Europe. However, it is now widespread in the EPPO region and treated by several countries (e.g. in the European Union) as a regulated non-quarantine pest (RNQP). In European Union member states, resistant rootstocks are being used and planting own-rooted susceptible vines is generally not allowed.</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Grapevine-growing countries may require that plants for planting have been produced in pest free areas or treated either by fumigation, hot water or other appropriate treatment. It may be required that fruits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free from leaves. As recommended during the EU Quality pest Project, when regulated as a RNQP, additional measures could include the use of resistant rootstocks, and possibly the production in pest free place/site of production under protected conditions for higher categories of plant reproductive material for the vine sector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Effectiveness of the different options in managing the risk is discussed in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A, Cunningham JP, Valenzuela I &amp; Blacket MJ (2020) A diagnostic LAMP assay for the destructive grapevine insect pest,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21229. </w:t>
      </w:r>
      <w:hyperlink r:id="rId2756669e76b364e31" w:history="1">
        <w:r>
          <w:rPr>
            <w:rFonts w:ascii="Calibri" w:hAnsi="Calibri" w:eastAsia="Calibri" w:cs="Calibri"/>
            <w:color w:val="0000CC"/>
            <w:sz w:val="22"/>
            <w:szCs w:val="22"/>
            <w:u w:val="single"/>
          </w:rPr>
          <w:t xml:space="preserve">https://doi.org/10.1038/s41598-020-77928-9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Bao LV, Scatoni IB, Gaggero C, Gutierrez L, Monza J &amp; Walker MA (2015) Genetic diversity of grape phylloxera leaf-galling populations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46-53. </w:t>
      </w:r>
      <w:hyperlink r:id="rId5043669e76b364ec4" w:history="1">
        <w:r>
          <w:rPr>
            <w:rFonts w:ascii="Calibri" w:hAnsi="Calibri" w:eastAsia="Calibri" w:cs="Calibri"/>
            <w:color w:val="0000CC"/>
            <w:sz w:val="22"/>
            <w:szCs w:val="22"/>
            <w:u w:val="single"/>
          </w:rPr>
          <w:t xml:space="preserve">https://doi.org/10.5344/ajev.2014.14026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Benheim D, Rochfort S, Robertson E, Potter ID &amp; Powell KS (2012)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 a review of potential detection and alternative management options.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91-115.</w:t>
      </w:r>
      <w:hyperlink r:id="rId8519669e76b364f54" w:history="1">
        <w:r>
          <w:rPr>
            <w:rFonts w:ascii="Calibri" w:hAnsi="Calibri" w:eastAsia="Calibri" w:cs="Calibri"/>
            <w:color w:val="0000CC"/>
            <w:sz w:val="22"/>
            <w:szCs w:val="22"/>
            <w:u w:val="single"/>
          </w:rPr>
          <w:t xml:space="preserve">https://doi.org/10.1111/j.1744-7348.2012.00561.x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Blanchfield AL, Robinson SA, Renzullo LJ &amp; Powell KS (2006) Phylloxera-infested grapevine have reduced chlorophyll and increased photoprotective pigment content- can leaf pigment composition aid pest detection? </w:t>
      </w:r>
      <w:r>
        <w:rPr>
          <w:rFonts w:ascii="Calibri" w:hAnsi="Calibri" w:eastAsia="Calibri" w:cs="Calibri"/>
          <w:i/>
          <w:iCs/>
          <w:color w:val="000000"/>
          <w:sz w:val="22"/>
          <w:szCs w:val="22"/>
        </w:rPr>
        <w:t xml:space="preserve">Functional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507-514. </w:t>
      </w:r>
      <w:hyperlink r:id="rId4378669e76b364fc4" w:history="1">
        <w:r>
          <w:rPr>
            <w:rFonts w:ascii="Calibri" w:hAnsi="Calibri" w:eastAsia="Calibri" w:cs="Calibri"/>
            <w:color w:val="0000CC"/>
            <w:sz w:val="22"/>
            <w:szCs w:val="22"/>
            <w:u w:val="single"/>
          </w:rPr>
          <w:t xml:space="preserve">htpps://doi.org/10.1071/FP05315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Clarke CW, Henneken J, Carmody BM &amp; Cunningham JP (2023) Performance of six genetically diverse phylloxera strains on 5C Teleki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rootstock.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8 pp. </w:t>
      </w:r>
      <w:hyperlink r:id="rId9528669e76b365053" w:history="1">
        <w:r>
          <w:rPr>
            <w:rFonts w:ascii="Calibri" w:hAnsi="Calibri" w:eastAsia="Calibri" w:cs="Calibri"/>
            <w:color w:val="0000CC"/>
            <w:sz w:val="22"/>
            <w:szCs w:val="22"/>
            <w:u w:val="single"/>
          </w:rPr>
          <w:t xml:space="preserve">https://doi.org/10.1155/2023/2259967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Bovey R (1972) </w:t>
      </w:r>
      <w:r>
        <w:rPr>
          <w:rFonts w:ascii="Calibri" w:hAnsi="Calibri" w:eastAsia="Calibri" w:cs="Calibri"/>
          <w:i/>
          <w:iCs/>
          <w:color w:val="000000"/>
          <w:sz w:val="22"/>
          <w:szCs w:val="22"/>
        </w:rPr>
        <w:t xml:space="preserve">La défense des plantes cultivées</w:t>
      </w:r>
      <w:r>
        <w:rPr>
          <w:rFonts w:ascii="Calibri" w:hAnsi="Calibri" w:eastAsia="Calibri" w:cs="Calibri"/>
          <w:color w:val="000000"/>
          <w:sz w:val="22"/>
          <w:szCs w:val="22"/>
        </w:rPr>
        <w:t xml:space="preserve">, 6th edition, pp. 177-180. Payot,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Daris BT (1970) </w:t>
      </w:r>
      <w:r>
        <w:rPr>
          <w:rFonts w:ascii="Calibri" w:hAnsi="Calibri" w:eastAsia="Calibri" w:cs="Calibri"/>
          <w:i/>
          <w:iCs/>
          <w:color w:val="000000"/>
          <w:sz w:val="22"/>
          <w:szCs w:val="22"/>
        </w:rPr>
        <w:t xml:space="preserve">Phylloxera</w:t>
      </w:r>
      <w:r>
        <w:rPr>
          <w:rFonts w:ascii="Calibri" w:hAnsi="Calibri" w:eastAsia="Calibri" w:cs="Calibri"/>
          <w:color w:val="000000"/>
          <w:sz w:val="22"/>
          <w:szCs w:val="22"/>
        </w:rPr>
        <w:t xml:space="preserve"> as a pest of viticulture in Greece.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447-450.</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WM &amp; Nougaret RL (1921) </w:t>
      </w:r>
      <w:r>
        <w:rPr>
          <w:rFonts w:ascii="Calibri" w:hAnsi="Calibri" w:eastAsia="Calibri" w:cs="Calibri"/>
          <w:i/>
          <w:iCs/>
          <w:color w:val="000000"/>
          <w:sz w:val="22"/>
          <w:szCs w:val="22"/>
        </w:rPr>
        <w:t xml:space="preserve">The grape phylloxera in California</w:t>
      </w:r>
      <w:r>
        <w:rPr>
          <w:rFonts w:ascii="Calibri" w:hAnsi="Calibri" w:eastAsia="Calibri" w:cs="Calibri"/>
          <w:color w:val="000000"/>
          <w:sz w:val="22"/>
          <w:szCs w:val="22"/>
        </w:rPr>
        <w:t xml:space="preserve">. Bulletin of the U.S. Department of Agriculture no. 903, 128 pp</w:t>
      </w:r>
      <w:r>
        <w:rPr>
          <w:rFonts w:ascii="Calibri" w:hAnsi="Calibri" w:eastAsia="Calibri" w:cs="Calibri"/>
          <w:b/>
          <w:b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Devitz J (1919) Die Immunsande. Landwirthscaftliche Jahrbücher Zeitschrift für Wissenschaftliche Landwirtschaft </w:t>
      </w:r>
      <w:r>
        <w:rPr>
          <w:rFonts w:ascii="Calibri" w:hAnsi="Calibri" w:eastAsia="Calibri" w:cs="Calibri"/>
          <w:b/>
          <w:bCs/>
          <w:color w:val="000000"/>
          <w:sz w:val="22"/>
          <w:szCs w:val="22"/>
        </w:rPr>
        <w:t xml:space="preserve">LIII</w:t>
      </w:r>
      <w:r>
        <w:rPr>
          <w:rFonts w:ascii="Calibri" w:hAnsi="Calibri" w:eastAsia="Calibri" w:cs="Calibri"/>
          <w:color w:val="000000"/>
          <w:sz w:val="22"/>
          <w:szCs w:val="22"/>
        </w:rPr>
        <w:t xml:space="preserve">, 435-484. Verlagsbuchhandlung Paul Parey,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Downie DA, Fisher JR&amp;Granett J (2000) Distribution and abundance of leaf galling and foliar sexual morphs of grape phylloxera (Hemiptera: Phylloxeridae) and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in the Central and 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(5), 979–986. </w:t>
      </w:r>
      <w:hyperlink r:id="rId2907669e76b365224" w:history="1">
        <w:r>
          <w:rPr>
            <w:rFonts w:ascii="Calibri" w:hAnsi="Calibri" w:eastAsia="Calibri" w:cs="Calibri"/>
            <w:color w:val="0000CC"/>
            <w:sz w:val="22"/>
            <w:szCs w:val="22"/>
            <w:u w:val="single"/>
          </w:rPr>
          <w:t xml:space="preserve">https://doi.org/10.1603/0046-225X-29.5.979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(2014) Scientific Opinion on the risk to plant health posed by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the EU territory, with the identification and evaluation of risk reduction options.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3678, pp. 67. </w:t>
      </w:r>
      <w:hyperlink r:id="rId8015669e76b3652bd" w:history="1">
        <w:r>
          <w:rPr>
            <w:rFonts w:ascii="Calibri" w:hAnsi="Calibri" w:eastAsia="Calibri" w:cs="Calibri"/>
            <w:color w:val="0000CC"/>
            <w:sz w:val="22"/>
            <w:szCs w:val="22"/>
            <w:u w:val="single"/>
          </w:rPr>
          <w:t xml:space="preserve">https://doi/.org/10.2903/j.efsa.2014.3678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PM4/8. Certification scheme: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Available at </w:t>
      </w:r>
      <w:hyperlink r:id="rId7005669e76b365331" w:history="1">
        <w:r>
          <w:rPr>
            <w:rFonts w:ascii="Calibri" w:hAnsi="Calibri" w:eastAsia="Calibri" w:cs="Calibri"/>
            <w:color w:val="0000CC"/>
            <w:sz w:val="22"/>
            <w:szCs w:val="22"/>
            <w:u w:val="single"/>
          </w:rPr>
          <w:t xml:space="preserve">https://gd.eppo.int/download/standard/87/pm4-008-2-en.pdf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Phytosanitary treatments. EPPO Standard PM 10/16. Hot water treatment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484-486. Available at </w:t>
      </w:r>
      <w:hyperlink r:id="rId5480669e76b3653c0" w:history="1">
        <w:r>
          <w:rPr>
            <w:rFonts w:ascii="Calibri" w:hAnsi="Calibri" w:eastAsia="Calibri" w:cs="Calibri"/>
            <w:color w:val="0000CC"/>
            <w:sz w:val="22"/>
            <w:szCs w:val="22"/>
            <w:u w:val="single"/>
          </w:rPr>
          <w:t xml:space="preserve">https://gd.eppo.int/download/standard/278/pm10-016-1-en.pdf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10/20. Phosphine fumigation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496-497. Available at </w:t>
      </w:r>
      <w:hyperlink r:id="rId4779669e76b36544e" w:history="1">
        <w:r>
          <w:rPr>
            <w:rFonts w:ascii="Calibri" w:hAnsi="Calibri" w:eastAsia="Calibri" w:cs="Calibri"/>
            <w:color w:val="0000CC"/>
            <w:sz w:val="22"/>
            <w:szCs w:val="22"/>
            <w:u w:val="single"/>
          </w:rPr>
          <w:t xml:space="preserve">https://gd.eppo.int/download/standard/282/pm10-020-1-en.pdf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3550669e76b3654dc" w:history="1">
        <w:r>
          <w:rPr>
            <w:rFonts w:ascii="Calibri" w:hAnsi="Calibri" w:eastAsia="Calibri" w:cs="Calibri"/>
            <w:color w:val="0000CC"/>
            <w:sz w:val="22"/>
            <w:szCs w:val="22"/>
            <w:u w:val="single"/>
          </w:rPr>
          <w:t xml:space="preserve">https://gd.eppo.int/taxon/VITEVI/documents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Fahrentrapp J, Müller L &amp; Schumacher P(2015) Is there need for leaf-galling grape phylloxera control? Presence and distribution of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in Swiss vineyards.</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(4), 340-345. </w:t>
      </w:r>
      <w:hyperlink r:id="rId8630669e76b36555f" w:history="1">
        <w:r>
          <w:rPr>
            <w:rFonts w:ascii="Calibri" w:hAnsi="Calibri" w:eastAsia="Calibri" w:cs="Calibri"/>
            <w:color w:val="0000CC"/>
            <w:sz w:val="22"/>
            <w:szCs w:val="22"/>
            <w:u w:val="single"/>
          </w:rPr>
          <w:t xml:space="preserve">https://doi.org/10.1080/09670874.2015.1067734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Bauer M (2020) Figure Phylloxera Lifecycle. Available at </w:t>
      </w:r>
      <w:hyperlink r:id="rId8893669e76b365590" w:history="1">
        <w:r>
          <w:rPr>
            <w:rFonts w:ascii="Calibri" w:hAnsi="Calibri" w:eastAsia="Calibri" w:cs="Calibri"/>
            <w:color w:val="0000CC"/>
            <w:sz w:val="22"/>
            <w:szCs w:val="22"/>
            <w:u w:val="single"/>
          </w:rPr>
          <w:t xml:space="preserve">https://gd.eppo.int/taxon/VITEVI/photos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Huber L (2009) (A)sexual reproduction – a review of life cycles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(1),1–10.</w:t>
      </w:r>
    </w:p>
    <w:p>
      <w:pPr>
        <w:widowControl w:val="on"/>
        <w:pBdr/>
        <w:spacing w:before="220" w:after="220" w:line="240" w:lineRule="auto"/>
        <w:ind w:left="0" w:right="0"/>
        <w:jc w:val="left"/>
      </w:pPr>
      <w:r>
        <w:rPr>
          <w:rFonts w:ascii="Calibri" w:hAnsi="Calibri" w:eastAsia="Calibri" w:cs="Calibri"/>
          <w:color w:val="000000"/>
          <w:sz w:val="22"/>
          <w:szCs w:val="22"/>
        </w:rPr>
        <w:t xml:space="preserve">Forneck A, Powell KS &amp; Walker MA (2016) Scientific Opinion: Improving the definition of grape phylloxera biotypes and standardizing biotype screening protocols.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(4). </w:t>
      </w:r>
      <w:hyperlink r:id="rId1683669e76b36567a" w:history="1">
        <w:r>
          <w:rPr>
            <w:rFonts w:ascii="Calibri" w:hAnsi="Calibri" w:eastAsia="Calibri" w:cs="Calibri"/>
            <w:color w:val="0000CC"/>
            <w:sz w:val="22"/>
            <w:szCs w:val="22"/>
            <w:u w:val="single"/>
          </w:rPr>
          <w:t xml:space="preserve">https://doi.org/10.5344/ajev.2016.15106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Mammerler R, Tello Moro J, Breuer M, Müller J &amp; Fahrentrapp J (2020) First European leaf-feeding grape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survey in Swiss and German commercial vineyards.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1029–1039.</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(1975) Present state and future of vineyard protection against phylloxera in the USSR. </w:t>
      </w:r>
      <w:r>
        <w:rPr>
          <w:rFonts w:ascii="Calibri" w:hAnsi="Calibri" w:eastAsia="Calibri" w:cs="Calibri"/>
          <w:i/>
          <w:iCs/>
          <w:color w:val="000000"/>
          <w:sz w:val="22"/>
          <w:szCs w:val="22"/>
        </w:rPr>
        <w:t xml:space="preserve">VIII International Plant Protection Congress, Moscow, 1975 </w:t>
      </w:r>
      <w:r>
        <w:rPr>
          <w:rFonts w:ascii="Calibri" w:hAnsi="Calibri" w:eastAsia="Calibri" w:cs="Calibri"/>
          <w:color w:val="000000"/>
          <w:sz w:val="22"/>
          <w:szCs w:val="22"/>
        </w:rPr>
        <w:t xml:space="preserve">III, pp. 172-177.</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&amp; Gorkavenko EB (1977) Particulars of the development of root form of phylloxera.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55-56.</w:t>
      </w:r>
    </w:p>
    <w:p>
      <w:pPr>
        <w:widowControl w:val="on"/>
        <w:pBdr/>
        <w:spacing w:before="220" w:after="220" w:line="240" w:lineRule="auto"/>
        <w:ind w:left="0" w:right="0"/>
        <w:jc w:val="left"/>
      </w:pPr>
      <w:r>
        <w:rPr>
          <w:rFonts w:ascii="Calibri" w:hAnsi="Calibri" w:eastAsia="Calibri" w:cs="Calibri"/>
          <w:color w:val="000000"/>
          <w:sz w:val="22"/>
          <w:szCs w:val="22"/>
        </w:rPr>
        <w:t xml:space="preserve">Giblot-Ducray D, Correll R, Collins C, Nankivell A, Downs A, Pearce I, McKay AC &amp; Ophel-Keller KM (2016) Detection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by real-time quantitative PCR: development of a soil sampling protocol. </w:t>
      </w:r>
      <w:r>
        <w:rPr>
          <w:rFonts w:ascii="Calibri" w:hAnsi="Calibri" w:eastAsia="Calibri" w:cs="Calibri"/>
          <w:i/>
          <w:iCs/>
          <w:color w:val="000000"/>
          <w:sz w:val="22"/>
          <w:szCs w:val="22"/>
        </w:rPr>
        <w:t xml:space="preserve">Australian Journal of Grape and Wine Research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469-</w:t>
      </w:r>
      <w:hyperlink r:id="rId8727669e76b36580b" w:history="1">
        <w:r>
          <w:rPr>
            <w:rFonts w:ascii="Calibri" w:hAnsi="Calibri" w:eastAsia="Calibri" w:cs="Calibri"/>
            <w:color w:val="0000CC"/>
            <w:sz w:val="22"/>
            <w:szCs w:val="22"/>
            <w:u w:val="single"/>
          </w:rPr>
          <w:t xml:space="preserve">https://doi.org/10.1111/ajgw.12237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Granett J &amp; Timper P (1987) Demography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at different temperatures.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(2),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Timper P &amp; Lider LA (1985)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biotypes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(6), 1463-1467.</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Walker MA, Kocsis L &amp; Omer AD (2001) Biology and Management of grape phylloxera.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387-412.</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KS, Powell KS, McKay A, Hartley D, Herdina, Ophel-Keller K, Schiffer M &amp; Hoffmann AA (2008) Developing and testing a diagnostic probe for grape phylloxera applicable to soil samples.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1934-1943.</w:t>
      </w:r>
    </w:p>
    <w:p>
      <w:pPr>
        <w:widowControl w:val="on"/>
        <w:pBdr/>
        <w:spacing w:before="220" w:after="220" w:line="240" w:lineRule="auto"/>
        <w:ind w:left="0" w:right="0"/>
        <w:jc w:val="left"/>
      </w:pPr>
      <w:r>
        <w:rPr>
          <w:rFonts w:ascii="Calibri" w:hAnsi="Calibri" w:eastAsia="Calibri" w:cs="Calibri"/>
          <w:color w:val="000000"/>
          <w:sz w:val="22"/>
          <w:szCs w:val="22"/>
        </w:rPr>
        <w:t xml:space="preserve">Jubb GL (1976) Grape phylloxera: incidence of foliage damage to wine grapes in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(6),763–766.</w:t>
      </w:r>
    </w:p>
    <w:p>
      <w:pPr>
        <w:widowControl w:val="on"/>
        <w:pBdr/>
        <w:spacing w:before="220" w:after="220" w:line="240" w:lineRule="auto"/>
        <w:ind w:left="0" w:right="0"/>
        <w:jc w:val="left"/>
      </w:pPr>
      <w:r>
        <w:rPr>
          <w:rFonts w:ascii="Calibri" w:hAnsi="Calibri" w:eastAsia="Calibri" w:cs="Calibri"/>
          <w:color w:val="000000"/>
          <w:sz w:val="22"/>
          <w:szCs w:val="22"/>
        </w:rPr>
        <w:t xml:space="preserve">Kingston KB, Powell KS &amp; Cooper PD (2007) Grape Phylloxera external morphology observations under scanning electron microscopy. </w:t>
      </w:r>
      <w:r>
        <w:rPr>
          <w:rFonts w:ascii="Calibri" w:hAnsi="Calibri" w:eastAsia="Calibri" w:cs="Calibri"/>
          <w:i/>
          <w:iCs/>
          <w:color w:val="000000"/>
          <w:sz w:val="22"/>
          <w:szCs w:val="22"/>
        </w:rPr>
        <w:t xml:space="preserve">Proceeding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International Grapevine Phylloxera Symposium.</w:t>
      </w:r>
      <w:r>
        <w:rPr>
          <w:rFonts w:ascii="Calibri" w:hAnsi="Calibri" w:eastAsia="Calibri" w:cs="Calibri"/>
          <w:color w:val="000000"/>
          <w:sz w:val="22"/>
          <w:szCs w:val="22"/>
        </w:rPr>
        <w:t xml:space="preserve"> (Eds. Powell KS and Trethowan CJ).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107-114.  Available at </w:t>
      </w:r>
      <w:hyperlink r:id="rId3840669e76b365aef" w:history="1">
        <w:r>
          <w:rPr>
            <w:rFonts w:ascii="Calibri" w:hAnsi="Calibri" w:eastAsia="Calibri" w:cs="Calibri"/>
            <w:color w:val="0000CC"/>
            <w:sz w:val="22"/>
            <w:szCs w:val="22"/>
            <w:u w:val="single"/>
          </w:rPr>
          <w:t xml:space="preserve">https://openresearch-repository.anu.edu.au/bitstream/1885/51686/4/02_Kingston_Grape_Phylloxera_External_2007.pdf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King PD &amp; Rilling G (1985) Variations in the galling reaction of grapevines: evidence of different phylloxera biotypes and clonal reaction to phylloxera.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32-42.</w:t>
      </w:r>
    </w:p>
    <w:p>
      <w:pPr>
        <w:widowControl w:val="on"/>
        <w:pBdr/>
        <w:spacing w:before="220" w:after="220" w:line="240" w:lineRule="auto"/>
        <w:ind w:left="0" w:right="0"/>
        <w:jc w:val="left"/>
      </w:pPr>
      <w:r>
        <w:rPr>
          <w:rFonts w:ascii="Calibri" w:hAnsi="Calibri" w:eastAsia="Calibri" w:cs="Calibri"/>
          <w:color w:val="000000"/>
          <w:sz w:val="22"/>
          <w:szCs w:val="22"/>
        </w:rPr>
        <w:t xml:space="preserve">Lawo NC, Lawo JP, Plenk S, Schrank E &amp; Forneck A (2013)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(PULLIAT) shows partial resistance against leaf-feeding phylloxera and may serve to preserve abandoned vineyard habitats</w:t>
      </w:r>
      <w:r>
        <w:rPr>
          <w:rFonts w:ascii="Calibri" w:hAnsi="Calibri" w:eastAsia="Calibri" w:cs="Calibri"/>
          <w:i/>
          <w:iCs/>
          <w:color w:val="000000"/>
          <w:sz w:val="22"/>
          <w:szCs w:val="22"/>
        </w:rPr>
        <w:t xml:space="preserve">. Mitteilungen Klosterneuburg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Lund KT, Riaz S &amp; Walker MA (2017) Population structure, diversity and reproductive mode of the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across its native range.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e0170678. </w:t>
      </w:r>
      <w:hyperlink r:id="rId4660669e76b365c82" w:history="1">
        <w:r>
          <w:rPr>
            <w:rFonts w:ascii="Calibri" w:hAnsi="Calibri" w:eastAsia="Calibri" w:cs="Calibri"/>
            <w:color w:val="0000CC"/>
            <w:sz w:val="22"/>
            <w:szCs w:val="22"/>
            <w:u w:val="single"/>
          </w:rPr>
          <w:t xml:space="preserve">https://doi.org/10.1371/journal.pone.0170678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Maillet P (1957) Phylloxéra et écologie.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McLeod MJ (1990) </w:t>
      </w:r>
      <w:r>
        <w:rPr>
          <w:rFonts w:ascii="Calibri" w:hAnsi="Calibri" w:eastAsia="Calibri" w:cs="Calibri"/>
          <w:i/>
          <w:iCs/>
          <w:color w:val="000000"/>
          <w:sz w:val="22"/>
          <w:szCs w:val="22"/>
        </w:rPr>
        <w:t xml:space="preserve">Damage Assessment and Biology of Foliar Grape Phylloxera (Homoptera: Phylloxeridae) in Ohio</w:t>
      </w:r>
      <w:r>
        <w:rPr>
          <w:rFonts w:ascii="Calibri" w:hAnsi="Calibri" w:eastAsia="Calibri" w:cs="Calibri"/>
          <w:color w:val="000000"/>
          <w:sz w:val="22"/>
          <w:szCs w:val="22"/>
        </w:rPr>
        <w:t xml:space="preserve">. PhD Dissertation, Ohio State University, Columbus, OH, USA.</w:t>
      </w:r>
    </w:p>
    <w:p>
      <w:pPr>
        <w:widowControl w:val="on"/>
        <w:pBdr/>
        <w:spacing w:before="220" w:after="220" w:line="240" w:lineRule="auto"/>
        <w:ind w:left="0" w:right="0"/>
        <w:jc w:val="left"/>
      </w:pPr>
      <w:r>
        <w:rPr>
          <w:rFonts w:ascii="Calibri" w:hAnsi="Calibri" w:eastAsia="Calibri" w:cs="Calibri"/>
          <w:color w:val="000000"/>
          <w:sz w:val="22"/>
          <w:szCs w:val="22"/>
        </w:rPr>
        <w:t xml:space="preserve">Molnár JG, Németh C, Májer J &amp; Jahnke GG (2009) Assessment of phylloxera leaf galling incidence on European grapevines in Badacsony Hungary.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816</w:t>
      </w:r>
      <w:r>
        <w:rPr>
          <w:rFonts w:ascii="Calibri" w:hAnsi="Calibri" w:eastAsia="Calibri" w:cs="Calibri"/>
          <w:color w:val="000000"/>
          <w:sz w:val="22"/>
          <w:szCs w:val="22"/>
        </w:rPr>
        <w:t xml:space="preserve">, 97–104.</w:t>
      </w:r>
    </w:p>
    <w:p>
      <w:pPr>
        <w:widowControl w:val="on"/>
        <w:pBdr/>
        <w:spacing w:before="220" w:after="220" w:line="240" w:lineRule="auto"/>
        <w:ind w:left="0" w:right="0"/>
        <w:jc w:val="left"/>
      </w:pPr>
      <w:r>
        <w:rPr>
          <w:rFonts w:ascii="Calibri" w:hAnsi="Calibri" w:eastAsia="Calibri" w:cs="Calibri"/>
          <w:color w:val="000000"/>
          <w:sz w:val="22"/>
          <w:szCs w:val="22"/>
        </w:rPr>
        <w:t xml:space="preserve">Nabity PD, Haus MJ, Berenbaum MR &amp; DeLucia EH (2013) Leaf-galling phylloxera on grapes reprograms host metabolism and morphology. </w:t>
      </w:r>
      <w:r>
        <w:rPr>
          <w:rFonts w:ascii="Calibri" w:hAnsi="Calibri" w:eastAsia="Calibri" w:cs="Calibri"/>
          <w:i/>
          <w:iCs/>
          <w:color w:val="000000"/>
          <w:sz w:val="22"/>
          <w:szCs w:val="22"/>
        </w:rPr>
        <w:t xml:space="preserve">Proceedings of the National Academy of Sciences of the USA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16663–16668.</w:t>
      </w:r>
    </w:p>
    <w:p>
      <w:pPr>
        <w:widowControl w:val="on"/>
        <w:pBdr/>
        <w:spacing w:before="220" w:after="220" w:line="240" w:lineRule="auto"/>
        <w:ind w:left="0" w:right="0"/>
        <w:jc w:val="left"/>
      </w:pPr>
      <w:r>
        <w:rPr>
          <w:rFonts w:ascii="Calibri" w:hAnsi="Calibri" w:eastAsia="Calibri" w:cs="Calibri"/>
          <w:color w:val="000000"/>
          <w:sz w:val="22"/>
          <w:szCs w:val="22"/>
        </w:rPr>
        <w:t xml:space="preserve">Ocete R, Arnold C, Failla O, Ovicu G, Biagini B, Imazio S, Lara M, Maghradze D &amp; Angeles Lopez M (2011) Considerations on the European wild grapevine (</w:t>
      </w:r>
      <w:r>
        <w:rPr>
          <w:rFonts w:ascii="Calibri" w:hAnsi="Calibri" w:eastAsia="Calibri" w:cs="Calibri"/>
          <w:i/>
          <w:iCs/>
          <w:color w:val="000000"/>
          <w:sz w:val="22"/>
          <w:szCs w:val="22"/>
        </w:rPr>
        <w:t xml:space="preserve">Vitis vinifera L. </w:t>
      </w:r>
      <w:r>
        <w:rPr>
          <w:rFonts w:ascii="Calibri" w:hAnsi="Calibri" w:eastAsia="Calibri" w:cs="Calibri"/>
          <w:color w:val="000000"/>
          <w:sz w:val="22"/>
          <w:szCs w:val="22"/>
        </w:rPr>
        <w:t xml:space="preserve">ssp. </w:t>
      </w:r>
      <w:r>
        <w:rPr>
          <w:rFonts w:ascii="Calibri" w:hAnsi="Calibri" w:eastAsia="Calibri" w:cs="Calibri"/>
          <w:i/>
          <w:iCs/>
          <w:color w:val="000000"/>
          <w:sz w:val="22"/>
          <w:szCs w:val="22"/>
        </w:rPr>
        <w:t xml:space="preserve">sylvestris </w:t>
      </w:r>
      <w:r>
        <w:rPr>
          <w:rFonts w:ascii="Calibri" w:hAnsi="Calibri" w:eastAsia="Calibri" w:cs="Calibri"/>
          <w:color w:val="000000"/>
          <w:sz w:val="22"/>
          <w:szCs w:val="22"/>
        </w:rPr>
        <w:t xml:space="preserve">(Gmelin) Hegi) and phylloxera infestation.</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97-98.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4326669e76b365ed5"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KS (2012) </w:t>
      </w:r>
      <w:r>
        <w:rPr>
          <w:rFonts w:ascii="Calibri" w:hAnsi="Calibri" w:eastAsia="Calibri" w:cs="Calibri"/>
          <w:i/>
          <w:iCs/>
          <w:color w:val="000000"/>
          <w:sz w:val="22"/>
          <w:szCs w:val="22"/>
        </w:rPr>
        <w:t xml:space="preserve">Arthropod management in vineyards: pests, approaches and future directions. </w:t>
      </w:r>
      <w:r>
        <w:rPr>
          <w:rFonts w:ascii="Calibri" w:hAnsi="Calibri" w:eastAsia="Calibri" w:cs="Calibri"/>
          <w:color w:val="000000"/>
          <w:sz w:val="22"/>
          <w:szCs w:val="22"/>
        </w:rPr>
        <w:t xml:space="preserve">A holistic approach to future management of grapevine phylloxera. (Eds: Bostania NJ, Vincent C &amp; Isaacs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Chapter: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pp. 219-251. Springer Science+Business Media B.V,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KS, Cooper PD &amp; Forneck A (2013) The biology, physiology and host-plant interactions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Insect Physiology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,159–218.</w:t>
      </w:r>
    </w:p>
    <w:p>
      <w:pPr>
        <w:widowControl w:val="on"/>
        <w:pBdr/>
        <w:spacing w:before="220" w:after="220" w:line="240" w:lineRule="auto"/>
        <w:ind w:left="0" w:right="0"/>
        <w:jc w:val="left"/>
      </w:pPr>
      <w:r>
        <w:rPr>
          <w:rFonts w:ascii="Calibri" w:hAnsi="Calibri" w:eastAsia="Calibri" w:cs="Calibri"/>
          <w:color w:val="000000"/>
          <w:sz w:val="22"/>
          <w:szCs w:val="22"/>
        </w:rPr>
        <w:t xml:space="preserve">Reisenzein H, Baumgarten A, Pfeffer M &amp; Aust G (2007) The influence of soil properties on the development of the grape phylloxera population in Austrian viticulture.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13–23.</w:t>
      </w:r>
    </w:p>
    <w:p>
      <w:pPr>
        <w:widowControl w:val="on"/>
        <w:pBdr/>
        <w:spacing w:before="220" w:after="220" w:line="240" w:lineRule="auto"/>
        <w:ind w:left="0" w:right="0"/>
        <w:jc w:val="left"/>
      </w:pPr>
      <w:r>
        <w:rPr>
          <w:rFonts w:ascii="Calibri" w:hAnsi="Calibri" w:eastAsia="Calibri" w:cs="Calibri"/>
          <w:color w:val="000000"/>
          <w:sz w:val="22"/>
          <w:szCs w:val="22"/>
        </w:rPr>
        <w:t xml:space="preserve">Rilling G (1964) Development potential of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und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eggs of </w:t>
      </w:r>
      <w:r>
        <w:rPr>
          <w:rFonts w:ascii="Calibri" w:hAnsi="Calibri" w:eastAsia="Calibri" w:cs="Calibri"/>
          <w:i/>
          <w:iCs/>
          <w:color w:val="000000"/>
          <w:sz w:val="22"/>
          <w:szCs w:val="22"/>
        </w:rPr>
        <w:t xml:space="preserve">Dactylosphaera vitifolii</w:t>
      </w:r>
      <w:r>
        <w:rPr>
          <w:rFonts w:ascii="Calibri" w:hAnsi="Calibri" w:eastAsia="Calibri" w:cs="Calibri"/>
          <w:color w:val="000000"/>
          <w:sz w:val="22"/>
          <w:szCs w:val="22"/>
        </w:rPr>
        <w:t xml:space="preserve"> in relation to environmental factors.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Rübsaamen EH &amp; Ritter C (1900) </w:t>
      </w:r>
      <w:r>
        <w:rPr>
          <w:rFonts w:ascii="Calibri" w:hAnsi="Calibri" w:eastAsia="Calibri" w:cs="Calibri"/>
          <w:i/>
          <w:iCs/>
          <w:color w:val="000000"/>
          <w:sz w:val="22"/>
          <w:szCs w:val="22"/>
        </w:rPr>
        <w:t xml:space="preserve">Die Reblaus und ihre Lebenweise</w:t>
      </w:r>
      <w:r>
        <w:rPr>
          <w:rFonts w:ascii="Calibri" w:hAnsi="Calibri" w:eastAsia="Calibri" w:cs="Calibri"/>
          <w:color w:val="000000"/>
          <w:sz w:val="22"/>
          <w:szCs w:val="22"/>
        </w:rPr>
        <w:t xml:space="preserve">. 1-34. Berlin, Verlag PaFiredländer &amp; Sohn.</w:t>
      </w:r>
    </w:p>
    <w:p>
      <w:pPr>
        <w:widowControl w:val="on"/>
        <w:pBdr/>
        <w:spacing w:before="220" w:after="220" w:line="240" w:lineRule="auto"/>
        <w:ind w:left="0" w:right="0"/>
        <w:jc w:val="left"/>
      </w:pPr>
      <w:r>
        <w:rPr>
          <w:rFonts w:ascii="Calibri" w:hAnsi="Calibri" w:eastAsia="Calibri" w:cs="Calibri"/>
          <w:color w:val="000000"/>
          <w:sz w:val="22"/>
          <w:szCs w:val="22"/>
        </w:rPr>
        <w:t xml:space="preserve">Skinkis P, Walton V &amp; Kaiser C (2009) Grape phylloxera biology and anagement in the Pacific Northwest. </w:t>
      </w:r>
      <w:r>
        <w:rPr>
          <w:rFonts w:ascii="Calibri" w:hAnsi="Calibri" w:eastAsia="Calibri" w:cs="Calibri"/>
          <w:i/>
          <w:iCs/>
          <w:color w:val="000000"/>
          <w:sz w:val="22"/>
          <w:szCs w:val="22"/>
        </w:rPr>
        <w:t xml:space="preserve">EC 1463-E,</w:t>
      </w:r>
      <w:r>
        <w:rPr>
          <w:rFonts w:ascii="Calibri" w:hAnsi="Calibri" w:eastAsia="Calibri" w:cs="Calibri"/>
          <w:color w:val="000000"/>
          <w:sz w:val="22"/>
          <w:szCs w:val="22"/>
        </w:rPr>
        <w:t xml:space="preserve"> Oregon State University Extension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AB &amp; Jubb GL Jr (1976) Grape phylloxera: Seasonal activity of alates in Ontario and Pennsylvania vineyards.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549-552.</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(1985a) The phylloxera on European vines.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(1985b) Aspects of phylloxera infestation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on European vines. </w:t>
      </w:r>
      <w:r>
        <w:rPr>
          <w:rFonts w:ascii="Calibri" w:hAnsi="Calibri" w:eastAsia="Calibri" w:cs="Calibri"/>
          <w:i/>
          <w:iCs/>
          <w:color w:val="000000"/>
          <w:sz w:val="22"/>
          <w:szCs w:val="22"/>
        </w:rPr>
        <w:t xml:space="preserve">Atti XIV Congresso Nazionale Italiano di Entomologia sotto gli auspici dell'Accademia Nazionale Italiana di Entomologia, della Societa Entomologica Italiana e della International Union of Biological Sciences, 1985</w:t>
      </w:r>
      <w:r>
        <w:rPr>
          <w:rFonts w:ascii="Calibri" w:hAnsi="Calibri" w:eastAsia="Calibri" w:cs="Calibri"/>
          <w:color w:val="000000"/>
          <w:sz w:val="22"/>
          <w:szCs w:val="22"/>
        </w:rPr>
        <w:t xml:space="preserve">, pp.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Girolami V &amp; Guarnieri C (1986) Leaf infestation of grafted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by phylloxera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injuries. </w:t>
      </w:r>
      <w:r>
        <w:rPr>
          <w:rFonts w:ascii="Calibri" w:hAnsi="Calibri" w:eastAsia="Calibri" w:cs="Calibri"/>
          <w:i/>
          <w:iCs/>
          <w:color w:val="000000"/>
          <w:sz w:val="22"/>
          <w:szCs w:val="22"/>
        </w:rPr>
        <w:t xml:space="preserve">Atti Giornate Fitopatologiche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225-229.</w:t>
      </w:r>
    </w:p>
    <w:p>
      <w:pPr>
        <w:widowControl w:val="on"/>
        <w:pBdr/>
        <w:spacing w:before="220" w:after="220" w:line="240" w:lineRule="auto"/>
        <w:ind w:left="0" w:right="0"/>
        <w:jc w:val="left"/>
      </w:pPr>
      <w:r>
        <w:rPr>
          <w:rFonts w:ascii="Calibri" w:hAnsi="Calibri" w:eastAsia="Calibri" w:cs="Calibri"/>
          <w:color w:val="000000"/>
          <w:sz w:val="22"/>
          <w:szCs w:val="22"/>
        </w:rPr>
        <w:t xml:space="preserve">Torregrosa L, Viguier D, Vergnettes B &amp; Planas R (1997) Phylloxera (</w:t>
      </w:r>
      <w:r>
        <w:rPr>
          <w:rFonts w:ascii="Calibri" w:hAnsi="Calibri" w:eastAsia="Calibri" w:cs="Calibri"/>
          <w:i/>
          <w:iCs/>
          <w:color w:val="000000"/>
          <w:sz w:val="22"/>
          <w:szCs w:val="22"/>
        </w:rPr>
        <w:t xml:space="preserve">Daktylosphaira vitifoliae</w:t>
      </w:r>
      <w:r>
        <w:rPr>
          <w:rFonts w:ascii="Calibri" w:hAnsi="Calibri" w:eastAsia="Calibri" w:cs="Calibri"/>
          <w:color w:val="000000"/>
          <w:sz w:val="22"/>
          <w:szCs w:val="22"/>
        </w:rPr>
        <w:t xml:space="preserve"> Fitch) et dépérissement du vignoble. Cas des parcelles audoises à la submersion. </w:t>
      </w:r>
      <w:r>
        <w:rPr>
          <w:rFonts w:ascii="Calibri" w:hAnsi="Calibri" w:eastAsia="Calibri" w:cs="Calibri"/>
          <w:i/>
          <w:iCs/>
          <w:color w:val="000000"/>
          <w:sz w:val="22"/>
          <w:szCs w:val="22"/>
        </w:rPr>
        <w:t xml:space="preserve">Progres Agricole et Viticole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(10),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Vidart MV, Mujica MV, Bao L, Duarte F, Bentancourt CM, Franco J &amp; Scatoni IB (2013) Life history and assessment of grapevine phylloxera leaf galling incidence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(1),181. </w:t>
      </w:r>
      <w:hyperlink r:id="rId2056669e76b36648c" w:history="1">
        <w:r>
          <w:rPr>
            <w:rFonts w:ascii="Calibri" w:hAnsi="Calibri" w:eastAsia="Calibri" w:cs="Calibri"/>
            <w:color w:val="0000CC"/>
            <w:sz w:val="22"/>
            <w:szCs w:val="22"/>
            <w:u w:val="single"/>
          </w:rPr>
          <w:t xml:space="preserve">https://doi.org/10.1186/2193-1801-2-181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MA, Heinitz C, Riaz S &amp; Uretsky J (2019) Grape taxonomy and germplasm. In: Cantu D, Walker M (eds) </w:t>
      </w:r>
      <w:r>
        <w:rPr>
          <w:rFonts w:ascii="Calibri" w:hAnsi="Calibri" w:eastAsia="Calibri" w:cs="Calibri"/>
          <w:i/>
          <w:iCs/>
          <w:color w:val="000000"/>
          <w:sz w:val="22"/>
          <w:szCs w:val="22"/>
        </w:rPr>
        <w:t xml:space="preserve">The Grape Genome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Compendium of Plant Genomes.</w:t>
      </w:r>
      <w:r>
        <w:rPr>
          <w:rFonts w:ascii="Calibri" w:hAnsi="Calibri" w:eastAsia="Calibri" w:cs="Calibri"/>
          <w:color w:val="000000"/>
          <w:sz w:val="22"/>
          <w:szCs w:val="22"/>
        </w:rPr>
        <w:t xml:space="preserve"> Springer, Cham. </w:t>
      </w:r>
      <w:hyperlink r:id="rId8434669e76b3664fe" w:history="1">
        <w:r>
          <w:rPr>
            <w:rFonts w:ascii="Calibri" w:hAnsi="Calibri" w:eastAsia="Calibri" w:cs="Calibri"/>
            <w:color w:val="0000CC"/>
            <w:sz w:val="22"/>
            <w:szCs w:val="22"/>
            <w:u w:val="single"/>
          </w:rPr>
          <w:t xml:space="preserve">https://doi.org/10.1007/978-3-030-18601-2_2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RN, Shambaugh GF (1988) Grape phylloxera (Homoptera: Phylloxeridae) biotypes confirmed by electrophoresis and host susceptibility.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(2021a) Effect of temperature on host plant-specific leaf- and root-feeding performances: A comparison of grape phylloxera Biotypes C and G</w:t>
      </w:r>
      <w:r>
        <w:rPr>
          <w:rFonts w:ascii="Calibri" w:hAnsi="Calibri" w:eastAsia="Calibri" w:cs="Calibri"/>
          <w:i/>
          <w:iCs/>
          <w:color w:val="000000"/>
          <w:sz w:val="22"/>
          <w:szCs w:val="22"/>
        </w:rPr>
        <w:t xml:space="preserve">.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1113–1125.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(2021b) Grape phylloxera genetic structure reveals root-leaf migration within commercial vineyards.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697.</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(2022) Effects of grape phylloxera leaf infestation on grapevine growth and yield parameters in commercial vineyards: a pilot study. </w:t>
      </w:r>
      <w:r>
        <w:rPr>
          <w:rFonts w:ascii="Calibri" w:hAnsi="Calibri" w:eastAsia="Calibri" w:cs="Calibri"/>
          <w:i/>
          <w:iCs/>
          <w:color w:val="000000"/>
          <w:sz w:val="22"/>
          <w:szCs w:val="22"/>
        </w:rPr>
        <w:t xml:space="preserve">OENOOne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 </w:t>
      </w:r>
      <w:hyperlink r:id="rId4056669e76b366686" w:history="1">
        <w:r>
          <w:rPr>
            <w:rFonts w:ascii="Calibri" w:hAnsi="Calibri" w:eastAsia="Calibri" w:cs="Calibri"/>
            <w:color w:val="0000CC"/>
            <w:sz w:val="22"/>
            <w:szCs w:val="22"/>
            <w:u w:val="single"/>
          </w:rPr>
          <w:t xml:space="preserve">https://doi.org/10.20870/oeno-one.2022.56.1.4803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H-G, Liu C-H, Zhong X-H, Wang Z-Y, Sun H-S, Fan X-C, Liu X-M &amp; Shen H-B (2010) Investigation on population dynamics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vineyards of Xi’an and Shanghai.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291–296.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Astrid Forneck (University of Natural Resources and Life Sciences, Vienna).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EPPO datasheets on pests recommended for regulation. Available online. </w:t>
      </w:r>
      <w:hyperlink r:id="rId4374669e76b3667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202X.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106,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5 pp. </w:t>
      </w:r>
      <w:hyperlink r:id="rId9746669e76b366949" w:history="1">
        <w:r>
          <w:rPr>
            <w:rFonts w:ascii="Calibri" w:hAnsi="Calibri" w:eastAsia="Calibri" w:cs="Calibri"/>
            <w:color w:val="0000CC"/>
            <w:sz w:val="22"/>
            <w:szCs w:val="22"/>
            <w:u w:val="single"/>
          </w:rPr>
          <w:t xml:space="preserve">https://onlinelibrary.wiley.com/doi/epdf/10.1111/j.1365-2338.1981.tb01740.x</w:t>
        </w:r>
      </w:hyperlink>
    </w:p>
    <w:p>
      <w:r>
        <w:drawing>
          <wp:inline distT="0" distB="0" distL="0" distR="0">
            <wp:extent cx="1800000" cy="604800"/>
            <wp:docPr id="95169036" name="name4158669e76b3669b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52669e76b3669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66595">
    <w:multiLevelType w:val="hybridMultilevel"/>
    <w:lvl w:ilvl="0" w:tplc="10151660">
      <w:start w:val="1"/>
      <w:numFmt w:val="decimal"/>
      <w:lvlText w:val="%1."/>
      <w:lvlJc w:val="left"/>
      <w:pPr>
        <w:ind w:left="720" w:hanging="360"/>
      </w:pPr>
    </w:lvl>
    <w:lvl w:ilvl="1" w:tplc="10151660" w:tentative="1">
      <w:start w:val="1"/>
      <w:numFmt w:val="lowerLetter"/>
      <w:lvlText w:val="%2."/>
      <w:lvlJc w:val="left"/>
      <w:pPr>
        <w:ind w:left="1440" w:hanging="360"/>
      </w:pPr>
    </w:lvl>
    <w:lvl w:ilvl="2" w:tplc="10151660" w:tentative="1">
      <w:start w:val="1"/>
      <w:numFmt w:val="lowerRoman"/>
      <w:lvlText w:val="%3."/>
      <w:lvlJc w:val="right"/>
      <w:pPr>
        <w:ind w:left="2160" w:hanging="180"/>
      </w:pPr>
    </w:lvl>
    <w:lvl w:ilvl="3" w:tplc="10151660" w:tentative="1">
      <w:start w:val="1"/>
      <w:numFmt w:val="decimal"/>
      <w:lvlText w:val="%4."/>
      <w:lvlJc w:val="left"/>
      <w:pPr>
        <w:ind w:left="2880" w:hanging="360"/>
      </w:pPr>
    </w:lvl>
    <w:lvl w:ilvl="4" w:tplc="10151660" w:tentative="1">
      <w:start w:val="1"/>
      <w:numFmt w:val="lowerLetter"/>
      <w:lvlText w:val="%5."/>
      <w:lvlJc w:val="left"/>
      <w:pPr>
        <w:ind w:left="3600" w:hanging="360"/>
      </w:pPr>
    </w:lvl>
    <w:lvl w:ilvl="5" w:tplc="10151660" w:tentative="1">
      <w:start w:val="1"/>
      <w:numFmt w:val="lowerRoman"/>
      <w:lvlText w:val="%6."/>
      <w:lvlJc w:val="right"/>
      <w:pPr>
        <w:ind w:left="4320" w:hanging="180"/>
      </w:pPr>
    </w:lvl>
    <w:lvl w:ilvl="6" w:tplc="10151660" w:tentative="1">
      <w:start w:val="1"/>
      <w:numFmt w:val="decimal"/>
      <w:lvlText w:val="%7."/>
      <w:lvlJc w:val="left"/>
      <w:pPr>
        <w:ind w:left="5040" w:hanging="360"/>
      </w:pPr>
    </w:lvl>
    <w:lvl w:ilvl="7" w:tplc="10151660" w:tentative="1">
      <w:start w:val="1"/>
      <w:numFmt w:val="lowerLetter"/>
      <w:lvlText w:val="%8."/>
      <w:lvlJc w:val="left"/>
      <w:pPr>
        <w:ind w:left="5760" w:hanging="360"/>
      </w:pPr>
    </w:lvl>
    <w:lvl w:ilvl="8" w:tplc="10151660" w:tentative="1">
      <w:start w:val="1"/>
      <w:numFmt w:val="lowerRoman"/>
      <w:lvlText w:val="%9."/>
      <w:lvlJc w:val="right"/>
      <w:pPr>
        <w:ind w:left="6480" w:hanging="180"/>
      </w:pPr>
    </w:lvl>
  </w:abstractNum>
  <w:abstractNum w:abstractNumId="71366594">
    <w:multiLevelType w:val="hybridMultilevel"/>
    <w:lvl w:ilvl="0" w:tplc="21409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66594">
    <w:abstractNumId w:val="71366594"/>
  </w:num>
  <w:num w:numId="71366595">
    <w:abstractNumId w:val="713665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1301444" Type="http://schemas.microsoft.com/office/2011/relationships/commentsExtended" Target="commentsExtended.xml"/><Relationship Id="rId626503054" Type="http://schemas.microsoft.com/office/2011/relationships/people" Target="people.xml"/><Relationship Id="rId7190669e76b3622aa" Type="http://schemas.openxmlformats.org/officeDocument/2006/relationships/hyperlink" Target="https://gd.eppo.int/taxon/VITEVI/" TargetMode="External"/><Relationship Id="rId9261669e76b362317" Type="http://schemas.openxmlformats.org/officeDocument/2006/relationships/hyperlink" Target="https://gd.eppo.int/taxon/VITEVI/categorization" TargetMode="External"/><Relationship Id="rId7903669e76b362a66" Type="http://schemas.openxmlformats.org/officeDocument/2006/relationships/hyperlink" Target="https://gd.eppo.int/taxon/VITEVI/photos" TargetMode="External"/><Relationship Id="rId8678669e76b3640f1" Type="http://schemas.openxmlformats.org/officeDocument/2006/relationships/hyperlink" Target="https://gd.eppo.int/taxon/VITEVI/photos" TargetMode="External"/><Relationship Id="rId2756669e76b364e31" Type="http://schemas.openxmlformats.org/officeDocument/2006/relationships/hyperlink" Target="https://doi.org/10.1038/s41598-020-77928-9" TargetMode="External"/><Relationship Id="rId5043669e76b364ec4" Type="http://schemas.openxmlformats.org/officeDocument/2006/relationships/hyperlink" Target="https://doi.org/10.5344/ajev.2014.14026" TargetMode="External"/><Relationship Id="rId8519669e76b364f54" Type="http://schemas.openxmlformats.org/officeDocument/2006/relationships/hyperlink" Target="https://doi.org/10.1111/j.1744-7348.2012.00561.x" TargetMode="External"/><Relationship Id="rId4378669e76b364fc4" Type="http://schemas.openxmlformats.org/officeDocument/2006/relationships/hyperlink" Target="http://htpps%3A//doi.org/10.1071/FP05315" TargetMode="External"/><Relationship Id="rId9528669e76b365053" Type="http://schemas.openxmlformats.org/officeDocument/2006/relationships/hyperlink" Target="https://doi.org/10.1155/2023/2259967" TargetMode="External"/><Relationship Id="rId2907669e76b365224" Type="http://schemas.openxmlformats.org/officeDocument/2006/relationships/hyperlink" Target="https://doi.org/10.1603/0046-225X-29.5.979" TargetMode="External"/><Relationship Id="rId8015669e76b3652bd" Type="http://schemas.openxmlformats.org/officeDocument/2006/relationships/hyperlink" Target="https://doi/.org/10.2903/j.efsa.2014.3678" TargetMode="External"/><Relationship Id="rId7005669e76b365331" Type="http://schemas.openxmlformats.org/officeDocument/2006/relationships/hyperlink" Target="https://gd.eppo.int/download/standard/87/pm4-008-2-en.pdf" TargetMode="External"/><Relationship Id="rId5480669e76b3653c0" Type="http://schemas.openxmlformats.org/officeDocument/2006/relationships/hyperlink" Target="https://gd.eppo.int/download/standard/278/pm10-016-1-en.pdf" TargetMode="External"/><Relationship Id="rId4779669e76b36544e" Type="http://schemas.openxmlformats.org/officeDocument/2006/relationships/hyperlink" Target="https://gd.eppo.int/download/standard/282/pm10-020-1-en.pdf" TargetMode="External"/><Relationship Id="rId3550669e76b3654dc" Type="http://schemas.openxmlformats.org/officeDocument/2006/relationships/hyperlink" Target="https://gd.eppo.int/taxon/VITEVI/documents" TargetMode="External"/><Relationship Id="rId8630669e76b36555f" Type="http://schemas.openxmlformats.org/officeDocument/2006/relationships/hyperlink" Target="https://doi.org/10.1080/09670874.2015.1067734" TargetMode="External"/><Relationship Id="rId8893669e76b365590" Type="http://schemas.openxmlformats.org/officeDocument/2006/relationships/hyperlink" Target="https://gd.eppo.int/taxon/VITEVI/photos" TargetMode="External"/><Relationship Id="rId1683669e76b36567a" Type="http://schemas.openxmlformats.org/officeDocument/2006/relationships/hyperlink" Target="https://doi.org/10.5344/ajev.2016.15106" TargetMode="External"/><Relationship Id="rId8727669e76b36580b" Type="http://schemas.openxmlformats.org/officeDocument/2006/relationships/hyperlink" Target="https://doi.org/10.1111/ajgw.12237" TargetMode="External"/><Relationship Id="rId3840669e76b365aef" Type="http://schemas.openxmlformats.org/officeDocument/2006/relationships/hyperlink" Target="https://openresearch-repository.anu.edu.au/bitstream/1885/51686/4/02_Kingston_Grape_Phylloxera_External_2007.pdf" TargetMode="External"/><Relationship Id="rId4660669e76b365c82" Type="http://schemas.openxmlformats.org/officeDocument/2006/relationships/hyperlink" Target="https://doi.org/10.1371/journal.pone.0170678" TargetMode="External"/><Relationship Id="rId4326669e76b365ed5" Type="http://schemas.openxmlformats.org/officeDocument/2006/relationships/hyperlink" Target="https://rnqp.eppo.int/recommendations/" TargetMode="External"/><Relationship Id="rId2056669e76b36648c" Type="http://schemas.openxmlformats.org/officeDocument/2006/relationships/hyperlink" Target="https://doi.org/10.1186/2193-1801-2-181" TargetMode="External"/><Relationship Id="rId8434669e76b3664fe" Type="http://schemas.openxmlformats.org/officeDocument/2006/relationships/hyperlink" Target="https://doi.org/10.1007/978-3-030-18601-2_2" TargetMode="External"/><Relationship Id="rId4056669e76b366686" Type="http://schemas.openxmlformats.org/officeDocument/2006/relationships/hyperlink" Target="https://doi.org/10.20870/oeno-one.2022.56.1.4803" TargetMode="External"/><Relationship Id="rId4374669e76b3667c0" Type="http://schemas.openxmlformats.org/officeDocument/2006/relationships/hyperlink" Target="https://gd.eppo.int" TargetMode="External"/><Relationship Id="rId9746669e76b366949" Type="http://schemas.openxmlformats.org/officeDocument/2006/relationships/hyperlink" Target="https://onlinelibrary.wiley.com/doi/epdf/10.1111/j.1365-2338.1981.tb01740.x" TargetMode="External"/><Relationship Id="rId1716669e76b36295f" Type="http://schemas.openxmlformats.org/officeDocument/2006/relationships/image" Target="media/imgrId1716669e76b36295f.jpg"/><Relationship Id="rId9945669e76b363e10" Type="http://schemas.openxmlformats.org/officeDocument/2006/relationships/image" Target="media/imgrId9945669e76b363e10.jpg"/><Relationship Id="rId9852669e76b3669b2" Type="http://schemas.openxmlformats.org/officeDocument/2006/relationships/image" Target="media/imgrId9852669e76b3669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