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citri pv. aurantifolii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2024-03-19</w:t>
      </w:r>
      <w:r>
        <w:rPr>
          <w:rFonts w:ascii="Calibri" w:hAnsi="Calibri" w:eastAsia="Calibri" w:cs="Calibri"/>
          <w:color w:val="000000"/>
          <w:sz w:val="22"/>
          <w:szCs w:val="22"/>
        </w:rPr>
        <w:br/>
        <w:t xml:space="preserve">This datasheet focusses specifically on less virulent bacterial strains causing citrus canker. These strains have been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pathotypes B and C and the form of canker they cause is called South American citrus canker. The primary more devastating form of citrus canker, so-called Asiatic citrus canker, originating from Asia and caused by more virulent strains, classified as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(pathotypes A, A*,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is covered in a separate datasheet.  Text between square brackets [ ], on symptoms, morphology and detection, identification and inspection methods, is from the </w:t>
      </w:r>
      <w:hyperlink r:id="rId797468057fb317846" w:history="1">
        <w:r>
          <w:rPr>
            <w:rFonts w:ascii="Calibri" w:hAnsi="Calibri" w:eastAsia="Calibri" w:cs="Calibri"/>
            <w:b/>
            <w:bCs/>
            <w:color w:val="0000CC"/>
            <w:sz w:val="22"/>
            <w:szCs w:val="22"/>
            <w:u w:val="single"/>
          </w:rPr>
          <w:t xml:space="preserve">EPPO datasheet on </w:t>
        </w:r>
        <w:r>
          <w:rPr>
            <w:rFonts w:ascii="Calibri" w:hAnsi="Calibri" w:eastAsia="Calibri" w:cs="Calibri"/>
            <w:b/>
            <w:bCs/>
            <w:i/>
            <w:iCs/>
            <w:color w:val="0000CC"/>
            <w:sz w:val="22"/>
            <w:szCs w:val="22"/>
            <w:u w:val="single"/>
          </w:rPr>
          <w:t xml:space="preserve">X. citri</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the reasons explained under the chapter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citri pv. aurantifolii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Constantin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axonopodis pv. aurantifolii</w:t>
            </w:r>
            <w:r>
              <w:rPr>
                <w:rFonts w:ascii="Calibri" w:hAnsi="Calibri" w:eastAsia="Calibri" w:cs="Calibri"/>
                <w:color w:val="000000"/>
                <w:position w:val="-3"/>
                <w:sz w:val="22"/>
                <w:szCs w:val="22"/>
              </w:rPr>
              <w:t xml:space="preserve"> Vauterin et al., </w:t>
            </w:r>
            <w:r>
              <w:rPr>
                <w:rFonts w:ascii="Calibri" w:hAnsi="Calibri" w:eastAsia="Calibri" w:cs="Calibri"/>
                <w:i/>
                <w:iCs/>
                <w:color w:val="000000"/>
                <w:position w:val="-3"/>
                <w:sz w:val="22"/>
                <w:szCs w:val="22"/>
              </w:rPr>
              <w:t xml:space="preserve">Xanthomonas campestris pv. aurantifolii</w:t>
            </w:r>
            <w:r>
              <w:rPr>
                <w:rFonts w:ascii="Calibri" w:hAnsi="Calibri" w:eastAsia="Calibri" w:cs="Calibri"/>
                <w:color w:val="000000"/>
                <w:position w:val="-3"/>
                <w:sz w:val="22"/>
                <w:szCs w:val="22"/>
              </w:rPr>
              <w:t xml:space="preserve"> Gabriel, Kingsley, Hunter &amp; Gottwald, </w:t>
            </w:r>
            <w:r>
              <w:rPr>
                <w:rFonts w:ascii="Calibri" w:hAnsi="Calibri" w:eastAsia="Calibri" w:cs="Calibri"/>
                <w:i/>
                <w:iCs/>
                <w:color w:val="000000"/>
                <w:position w:val="-3"/>
                <w:sz w:val="22"/>
                <w:szCs w:val="22"/>
              </w:rPr>
              <w:t xml:space="preserve">Xanthomonas citri f. sp. aurantifolia</w:t>
            </w:r>
            <w:r>
              <w:rPr>
                <w:rFonts w:ascii="Calibri" w:hAnsi="Calibri" w:eastAsia="Calibri" w:cs="Calibri"/>
                <w:color w:val="000000"/>
                <w:position w:val="-3"/>
                <w:sz w:val="22"/>
                <w:szCs w:val="22"/>
              </w:rPr>
              <w:t xml:space="preserve"> Namekata &amp; Oliveira, </w:t>
            </w:r>
            <w:r>
              <w:rPr>
                <w:rFonts w:ascii="Calibri" w:hAnsi="Calibri" w:eastAsia="Calibri" w:cs="Calibri"/>
                <w:i/>
                <w:iCs/>
                <w:color w:val="000000"/>
                <w:position w:val="-3"/>
                <w:sz w:val="22"/>
                <w:szCs w:val="22"/>
              </w:rPr>
              <w:t xml:space="preserve">Xanthomonas fuscans subsp. aurantifolii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Galician lemon canker (C strains), Mexican lime cancrosis (C strains), South American citrus canker, cancrosis B (B strains), citrus canker, false citrus canker (B strains)</w:t>
            </w:r>
            <w:hyperlink r:id="rId291468057fb317b0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24768057fb317b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canker was described for the first time by Stevens (1914) and Wolf &amp; Massey (1914) from the South-Eastern USA, and was considered likely to have introduced with citrus seedlings from Japan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disease is endemic in China, Japan, Southern Asia, and Oceania, where citrus originated and have long been grown. The causal agent was isolated by Hasse in 1915, who named it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Later it was reclassified into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by Dowson (1939). In the 1970s, almost all species within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were reclassified at pathovar level and the citrus canker pathogen was reclassified in the complex species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(Dye, 1978).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determined that the typical citrus canker strains (A or Asiatic strains) deserved species rank and classified them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This pathogen aligns with genetic cluster 9.5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as defined by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Revisions in taxonomy, based on Multilocus Sequence Analysis (MLSA), DNA:DNA hybridization, Average Nucleotide Identity (ANI) and whole genome sequence analysis led to its current classification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(synonyms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classical Asiatic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three other groups of slower growing and less pathogenic strains were isolated in South America,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B, C and D strains, grouping into genetic cluster 9.6 of </w:t>
      </w:r>
      <w:r>
        <w:rPr>
          <w:rFonts w:ascii="Calibri" w:hAnsi="Calibri" w:eastAsia="Calibri" w:cs="Calibri"/>
          <w:i/>
          <w:iCs/>
          <w:color w:val="000000"/>
          <w:sz w:val="22"/>
          <w:szCs w:val="22"/>
        </w:rPr>
        <w:t xml:space="preserve">X. axonopodis sensu</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Namekata (1971) first described the C strains and differentiated them from A strains,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forma specialis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(most virulent) were already detected in 1957 and spread to many areas in Brazil (Bitancourt, 1957; Behlau, 2020) The B, C and D strains were reclassified in 2006 as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subsequent studies refuted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as a separate species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these strains were reclassified as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(Ah-You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Constantin, 2016). A recent core genome multilocus sequence typing study has confirmed this classification (Ragupathy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Concerning the D strains, the disease called citrus bacteriosis and formerly thought to be caused by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D, was finally found to be caused by a fungus,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Palm &amp; Civerolo, 1994).</w:t>
      </w:r>
    </w:p>
    <w:p>
      <w:pPr>
        <w:widowControl w:val="on"/>
        <w:pBdr/>
        <w:spacing w:before="220" w:after="220" w:line="240" w:lineRule="auto"/>
        <w:ind w:left="0" w:right="0"/>
        <w:jc w:val="both"/>
      </w:pPr>
      <w:r>
        <w:rPr>
          <w:rFonts w:ascii="Calibri" w:hAnsi="Calibri" w:eastAsia="Calibri" w:cs="Calibri"/>
          <w:color w:val="000000"/>
          <w:sz w:val="22"/>
          <w:szCs w:val="22"/>
        </w:rPr>
        <w:t xml:space="preserve">Two closely related bacterial plant pathogens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causing Citrus bacterial spot in Florida (US), formerly named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E strains (syn.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 X. alfalfae</w:t>
      </w:r>
      <w:r>
        <w:rPr>
          <w:rFonts w:ascii="Calibri" w:hAnsi="Calibri" w:eastAsia="Calibri" w:cs="Calibri"/>
          <w:color w:val="000000"/>
          <w:sz w:val="22"/>
          <w:szCs w:val="22"/>
        </w:rPr>
        <w:t xml:space="preserve"> subsp</w:t>
      </w:r>
      <w:r>
        <w:rPr>
          <w:rFonts w:ascii="Calibri" w:hAnsi="Calibri" w:eastAsia="Calibri" w:cs="Calibri"/>
          <w:i/>
          <w:iCs/>
          <w:color w:val="000000"/>
          <w:sz w:val="22"/>
          <w:szCs w:val="22"/>
        </w:rPr>
        <w:t xml:space="preserve">. citromelonis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9.2, see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(Chakravarti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Bansal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(formerly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genetic cluster 9.5 causing another Citrus bacterial spot disease in India, are not addressed in this datasheet. They are mentioned here, since in the past misnaming/misidentification/nomenclatorial issues have led to confusion, unnecessary and costly quarantine measures and lawsuits in the past (e.g.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further details on these pathogens, refer to Graham and Gottwald (1991);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2007). The most recent taxonomy and detailed description of bacterial strains causing citrus canker are summarized in Table 1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1</w:t>
      </w:r>
      <w:r>
        <w:rPr>
          <w:rFonts w:ascii="Calibri" w:hAnsi="Calibri" w:eastAsia="Calibri" w:cs="Calibri"/>
          <w:color w:val="000000"/>
          <w:sz w:val="22"/>
          <w:szCs w:val="22"/>
        </w:rPr>
        <w:t xml:space="preserve"> – Summary of pathotypes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causing citrus bacterial canker (CBC), described in this datasheet.</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725.25597269625"/>
        <w:gridCol w:w="810.58020477816"/>
        <w:gridCol w:w="725.25597269625"/>
        <w:gridCol w:w="844.70989761092"/>
        <w:gridCol w:w="964.1638225256"/>
        <w:gridCol w:w="930.03412969283"/>
      </w:tblGrid>
      <w:tr>
        <w:trPr>
          <w:trHeight w:val="0" w:hRule="atLeast"/>
        </w:trPr>
        <w:tc>
          <w:tcPr>
            <w:tcW w:w="1527.303754266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Pathovars</w:t>
            </w:r>
          </w:p>
        </w:tc>
        <w:tc>
          <w:tcPr>
            <w:tcW w:w="1569.9658703072"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Xanthomonas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citri</w:t>
            </w:r>
          </w:p>
        </w:tc>
        <w:tc>
          <w:tcPr>
            <w:tcW w:w="1902.7303754266" w:type="pct"/>
            <w:gridSpan w:val="2"/>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X. citri </w:t>
            </w:r>
            <w:r>
              <w:rPr>
                <w:rFonts w:ascii="Calibri" w:hAnsi="Calibri" w:eastAsia="Calibri" w:cs="Calibri"/>
                <w:color w:val="000000"/>
                <w:position w:val="0"/>
                <w:sz w:val="22"/>
                <w:szCs w:val="22"/>
              </w:rPr>
              <w:t xml:space="preserve">pv. </w:t>
            </w:r>
            <w:r>
              <w:rPr>
                <w:rFonts w:ascii="Calibri" w:hAnsi="Calibri" w:eastAsia="Calibri" w:cs="Calibri"/>
                <w:i/>
                <w:iCs/>
                <w:color w:val="000000"/>
                <w:position w:val="0"/>
                <w:sz w:val="22"/>
                <w:szCs w:val="22"/>
              </w:rPr>
              <w:t xml:space="preserve">aurantifolii</w:t>
            </w:r>
          </w:p>
        </w:tc>
      </w:tr>
      <w:tr>
        <w:trPr>
          <w:trHeight w:val="0" w:hRule="atLeast"/>
        </w:trPr>
        <w:tc>
          <w:tcPr>
            <w:tcW w:w="726.4957264957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Disease</w:t>
            </w:r>
          </w:p>
        </w:tc>
        <w:tc>
          <w:tcPr>
            <w:tcW w:w="2376.0683760684" w:type="pct"/>
            <w:gridSpan w:val="3"/>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Asiatic bacterial canker (CBC-A)</w:t>
            </w:r>
          </w:p>
        </w:tc>
        <w:tc>
          <w:tcPr>
            <w:tcW w:w="965.8119658119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(CBC-B)</w:t>
            </w:r>
          </w:p>
        </w:tc>
        <w:tc>
          <w:tcPr>
            <w:tcW w:w="931.6239316239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South American Citrus bacterial canker (CBC-C)</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Pathotypes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w:t>
            </w:r>
            <w:r>
              <w:rPr>
                <w:rFonts w:ascii="Calibri" w:hAnsi="Calibri" w:eastAsia="Calibri" w:cs="Calibri"/>
                <w:color w:val="000000"/>
                <w:position w:val="-4"/>
                <w:sz w:val="22"/>
                <w:szCs w:val="22"/>
                <w:vertAlign w:val="subscript"/>
                <w:vertAlign w:val="subscript"/>
              </w:rPr>
              <w:t xml:space="preserve">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w:t>
            </w:r>
            <w:r>
              <w:rPr>
                <w:rFonts w:ascii="Calibri" w:hAnsi="Calibri" w:eastAsia="Calibri" w:cs="Calibri"/>
                <w:color w:val="000000"/>
                <w:position w:val="0"/>
                <w:sz w:val="22"/>
                <w:szCs w:val="22"/>
              </w:rPr>
              <w:br/>
              <w:t xml:space="preserve">Brown-pigmented and non-pigmented strains</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Distribution</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Middle East, Americas, Africa, Oceania</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Asia and Africa </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Indian subcontinent, Arabian Peninsula, USA </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Argentina, Paraguay, Uruguay, </w:t>
            </w:r>
            <w:r>
              <w:rPr>
                <w:rFonts w:ascii="Calibri" w:hAnsi="Calibri" w:eastAsia="Calibri" w:cs="Calibri"/>
                <w:b/>
                <w:bCs/>
                <w:color w:val="000000"/>
                <w:position w:val="0"/>
                <w:sz w:val="22"/>
                <w:szCs w:val="22"/>
              </w:rPr>
              <w:t xml:space="preserve">not recorded after 1990</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Brazil (São Paulo), </w:t>
            </w:r>
            <w:r>
              <w:rPr>
                <w:rFonts w:ascii="Calibri" w:hAnsi="Calibri" w:eastAsia="Calibri" w:cs="Calibri"/>
                <w:b/>
                <w:bCs/>
                <w:color w:val="000000"/>
                <w:position w:val="0"/>
                <w:sz w:val="22"/>
                <w:szCs w:val="22"/>
              </w:rPr>
              <w:t xml:space="preserve">not recorded after 2009</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range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wide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limited</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narrow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Principal natural hosts</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w:t>
            </w:r>
            <w:r>
              <w:rPr>
                <w:rFonts w:ascii="Calibri" w:hAnsi="Calibri" w:eastAsia="Calibri" w:cs="Calibri"/>
                <w:color w:val="000000"/>
                <w:position w:val="0"/>
                <w:sz w:val="22"/>
                <w:szCs w:val="22"/>
              </w:rPr>
              <w:t xml:space="preserve"> spp. and other Rutaceae</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 and alemow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Lemon, Mexican lime, Sour orange, grapefruit</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Mexican lime</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Virulence</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Low</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Growth on nutrient agar and other standard media</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slow, needs elective medium</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 fast</w:t>
            </w:r>
          </w:p>
        </w:tc>
      </w:tr>
      <w:tr>
        <w:trPr>
          <w:trHeight w:val="0" w:hRule="atLeast"/>
        </w:trPr>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Economic impact</w:t>
            </w:r>
          </w:p>
        </w:tc>
        <w:tc>
          <w:tcPr>
            <w:tcW w:w="810.5802047781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725.2559726962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844.70989761092"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high</w:t>
            </w:r>
          </w:p>
        </w:tc>
        <w:tc>
          <w:tcPr>
            <w:tcW w:w="964.163822525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1990</w:t>
            </w:r>
            <w:r>
              <w:rPr>
                <w:rFonts w:ascii="Calibri" w:hAnsi="Calibri" w:eastAsia="Calibri" w:cs="Calibri"/>
                <w:color w:val="000000"/>
                <w:position w:val="0"/>
                <w:sz w:val="22"/>
                <w:szCs w:val="22"/>
              </w:rPr>
              <w:br/>
              <w:t xml:space="preserve">Replaced by CBC-A</w:t>
            </w:r>
          </w:p>
        </w:tc>
        <w:tc>
          <w:tcPr>
            <w:tcW w:w="930.03412969283"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Presently practically nil, not recorded after 2009</w:t>
            </w:r>
            <w:r>
              <w:rPr>
                <w:rFonts w:ascii="Calibri" w:hAnsi="Calibri" w:eastAsia="Calibri" w:cs="Calibri"/>
                <w:color w:val="000000"/>
                <w:position w:val="0"/>
                <w:sz w:val="22"/>
                <w:szCs w:val="22"/>
              </w:rPr>
              <w:br/>
              <w:t xml:space="preserve">Replaced by CBC-A</w:t>
            </w:r>
          </w:p>
        </w:tc>
      </w:tr>
    </w:tbl>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r>
        <w:rPr>
          <w:rFonts w:ascii="Calibri" w:hAnsi="Calibri" w:eastAsia="Calibri" w:cs="Calibri"/>
          <w:color w:val="000000"/>
          <w:sz w:val="22"/>
          <w:szCs w:val="22"/>
        </w:rPr>
        <w:t xml:space="preserve"> has a limited host range and predominantly affects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 Other natural hosts have also been reported, such as </w:t>
      </w:r>
      <w:r>
        <w:rPr>
          <w:rFonts w:ascii="Calibri" w:hAnsi="Calibri" w:eastAsia="Calibri" w:cs="Calibri"/>
          <w:i/>
          <w:iCs/>
          <w:color w:val="000000"/>
          <w:sz w:val="22"/>
          <w:szCs w:val="22"/>
        </w:rPr>
        <w:t xml:space="preserve">C. lemon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pummelo) when planted near infected Mexican lime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as well as </w:t>
      </w:r>
      <w:r>
        <w:rPr>
          <w:rFonts w:ascii="Calibri" w:hAnsi="Calibri" w:eastAsia="Calibri" w:cs="Calibri"/>
          <w:i/>
          <w:iCs/>
          <w:color w:val="000000"/>
          <w:sz w:val="22"/>
          <w:szCs w:val="22"/>
        </w:rPr>
        <w:t xml:space="preserve">C. aurantium (</w:t>
      </w:r>
      <w:r>
        <w:rPr>
          <w:rFonts w:ascii="Calibri" w:hAnsi="Calibri" w:eastAsia="Calibri" w:cs="Calibri"/>
          <w:color w:val="000000"/>
          <w:sz w:val="22"/>
          <w:szCs w:val="22"/>
        </w:rPr>
        <w:t xml:space="preserve">sour orange);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(sweet lime).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is considered to be a rare host (Rossetti, 1977; EFSA, 2014, 2019). As is the case for pathotypes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B does not infect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r>
        <w:rPr>
          <w:rFonts w:ascii="Calibri" w:hAnsi="Calibri" w:eastAsia="Calibri" w:cs="Calibri"/>
          <w:color w:val="000000"/>
          <w:sz w:val="22"/>
          <w:szCs w:val="22"/>
        </w:rPr>
        <w:t xml:space="preserve"> has a narrow host range, mainly affecting </w:t>
      </w:r>
      <w:r>
        <w:rPr>
          <w:rFonts w:ascii="Calibri" w:hAnsi="Calibri" w:eastAsia="Calibri" w:cs="Calibri"/>
          <w:i/>
          <w:iCs/>
          <w:color w:val="000000"/>
          <w:sz w:val="22"/>
          <w:szCs w:val="22"/>
        </w:rPr>
        <w:t xml:space="preserve">C. x aurantifolia</w:t>
      </w:r>
      <w:r>
        <w:rPr>
          <w:rFonts w:ascii="Calibri" w:hAnsi="Calibri" w:eastAsia="Calibri" w:cs="Calibri"/>
          <w:color w:val="000000"/>
          <w:sz w:val="22"/>
          <w:szCs w:val="22"/>
        </w:rPr>
        <w:t xml:space="preserve"> (Mexican lime)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rootstock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'Swingle' citrumelo (</w:t>
      </w:r>
      <w:r>
        <w:rPr>
          <w:rFonts w:ascii="Calibri" w:hAnsi="Calibri" w:eastAsia="Calibri" w:cs="Calibri"/>
          <w:i/>
          <w:iCs/>
          <w:color w:val="000000"/>
          <w:sz w:val="22"/>
          <w:szCs w:val="22"/>
        </w:rPr>
        <w:t xml:space="preserve">Poncirus trifoliata x Citrus paradisi</w:t>
      </w:r>
      <w:r>
        <w:rPr>
          <w:rFonts w:ascii="Calibri" w:hAnsi="Calibri" w:eastAsia="Calibri" w:cs="Calibri"/>
          <w:color w:val="000000"/>
          <w:sz w:val="22"/>
          <w:szCs w:val="22"/>
        </w:rPr>
        <w:t xml:space="preserve">) is considered to be a rare host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Jaciani, 2012; Fonseca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Upon artificial inoculation pathotype C strains infected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(Persian lime),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(lemon),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(grapefruit), and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 (Cleopatra mandarin) (Malavolta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1987; Jaciani,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artificial inoculation studies conducted on many ornamental Rutaceae with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(strain JJ59) and C (strain JV596) pathotypes,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confirmed the pathogenicity of both strains on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ceylanica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Eremocitrus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australasica</w:t>
      </w:r>
      <w:r>
        <w:rPr>
          <w:rFonts w:ascii="Calibri" w:hAnsi="Calibri" w:eastAsia="Calibri" w:cs="Calibri"/>
          <w:color w:val="000000"/>
          <w:sz w:val="22"/>
          <w:szCs w:val="22"/>
        </w:rPr>
        <w:t xml:space="preserve">, and of single strains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Microcitrus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(pathotype B strain) and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(pathotype C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is summarized and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pathotypes A, A* and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in Table 2 below.</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Table 2</w:t>
      </w:r>
      <w:r>
        <w:rPr>
          <w:rFonts w:ascii="Calibri" w:hAnsi="Calibri" w:eastAsia="Calibri" w:cs="Calibri"/>
          <w:color w:val="000000"/>
          <w:sz w:val="22"/>
          <w:szCs w:val="22"/>
        </w:rPr>
        <w:t xml:space="preserve"> – Host range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A, A* and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pathotypes B and C. Adapted from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and using data from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1991),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Schoulties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tbl>
      <w:tblPr>
        <w:tblStyle w:val="TableGridPHPDOCX"/>
        <w:tblCellMar>
          <w:left w:type="dxa" w:w="0"/>
          <w:right w:type="dxa" w:w="0"/>
        </w:tblCellMar>
        <w:tblW w:w="8505" w:type="dxa"/>
        <w:tblCellSpacing w:w="30" w:type="dxa"/>
        <w:tblInd w:w="0" w:type="auto"/>
        <w:tblBorders>
          <w:top w:val="outset" w:color="808080" w:sz="5"/>
          <w:left w:val="outset" w:color="808080" w:sz="5"/>
          <w:bottom w:val="outset" w:color="808080" w:sz="5"/>
          <w:right w:val="outset" w:color="808080" w:sz="5"/>
        </w:tblBorders>
      </w:tblPr>
      <w:tblGrid>
        <w:gridCol w:w="2491.1971830986"/>
        <w:gridCol w:w="501.76056338028"/>
        <w:gridCol w:w="501.76056338028"/>
        <w:gridCol w:w="501.76056338028"/>
        <w:gridCol w:w="501.76056338028"/>
        <w:gridCol w:w="501.76056338028"/>
      </w:tblGrid>
      <w:tr>
        <w:trPr>
          <w:trHeight w:val="0" w:hRule="atLeast"/>
        </w:trPr>
        <w:tc>
          <w:tcPr>
            <w:tcW w:w="2500"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Host*</w:t>
            </w:r>
          </w:p>
        </w:tc>
        <w:tc>
          <w:tcPr>
            <w:tcW w:w="2500" w:type="pct"/>
            <w:gridSpan w:val="5"/>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color w:val="000000"/>
                <w:position w:val="0"/>
                <w:sz w:val="22"/>
                <w:szCs w:val="22"/>
              </w:rPr>
              <w:t xml:space="preserve">Pathogen</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Xcc</w:t>
            </w:r>
            <w:r>
              <w:rPr>
                <w:rFonts w:ascii="Calibri" w:hAnsi="Calibri" w:eastAsia="Calibri" w:cs="Calibri"/>
                <w:b/>
                <w:bCs/>
                <w:color w:val="000000"/>
                <w:position w:val="0"/>
                <w:sz w:val="22"/>
                <w:szCs w:val="22"/>
              </w:rPr>
              <w:t xml:space="preserve">A</w:t>
            </w:r>
            <w:r>
              <w:rPr>
                <w:rFonts w:ascii="Calibri" w:hAnsi="Calibri" w:eastAsia="Calibri" w:cs="Calibri"/>
                <w:b/>
                <w:bCs/>
                <w:color w:val="000000"/>
                <w:position w:val="4"/>
                <w:sz w:val="22"/>
                <w:szCs w:val="22"/>
                <w:vertAlign w:val="superscript"/>
              </w:rPr>
              <w:t xml:space="preserve">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B</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b/>
                <w:bCs/>
                <w:i/>
                <w:iCs/>
                <w:color w:val="000000"/>
                <w:position w:val="0"/>
                <w:sz w:val="22"/>
                <w:szCs w:val="22"/>
              </w:rPr>
              <w:t xml:space="preserve">Xau</w:t>
            </w:r>
            <w:r>
              <w:rPr>
                <w:rFonts w:ascii="Calibri" w:hAnsi="Calibri" w:eastAsia="Calibri" w:cs="Calibri"/>
                <w:b/>
                <w:bCs/>
                <w:color w:val="000000"/>
                <w:position w:val="0"/>
                <w:sz w:val="22"/>
                <w:szCs w:val="22"/>
              </w:rPr>
              <w:t xml:space="preserve">C</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Citrus x aurantifolia</w:t>
            </w:r>
            <w:r>
              <w:rPr>
                <w:rFonts w:ascii="Calibri" w:hAnsi="Calibri" w:eastAsia="Calibri" w:cs="Calibri"/>
                <w:color w:val="000000"/>
                <w:position w:val="0"/>
                <w:sz w:val="22"/>
                <w:szCs w:val="22"/>
              </w:rPr>
              <w:t xml:space="preserve"> - Mexican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aurantium - </w:t>
            </w:r>
            <w:r>
              <w:rPr>
                <w:rFonts w:ascii="Calibri" w:hAnsi="Calibri" w:eastAsia="Calibri" w:cs="Calibri"/>
                <w:color w:val="000000"/>
                <w:position w:val="0"/>
                <w:sz w:val="22"/>
                <w:szCs w:val="22"/>
              </w:rPr>
              <w:t xml:space="preserve">sour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latifolia </w:t>
            </w:r>
            <w:r>
              <w:rPr>
                <w:rFonts w:ascii="Calibri" w:hAnsi="Calibri" w:eastAsia="Calibri" w:cs="Calibri"/>
                <w:color w:val="000000"/>
                <w:position w:val="0"/>
                <w:sz w:val="22"/>
                <w:szCs w:val="22"/>
              </w:rPr>
              <w:t xml:space="preserve">-</w:t>
            </w:r>
            <w:r>
              <w:rPr>
                <w:rFonts w:ascii="Calibri" w:hAnsi="Calibri" w:eastAsia="Calibri" w:cs="Calibri"/>
                <w:i/>
                <w:iCs/>
                <w:color w:val="000000"/>
                <w:position w:val="0"/>
                <w:sz w:val="22"/>
                <w:szCs w:val="22"/>
              </w:rPr>
              <w:t xml:space="preserve"> </w:t>
            </w:r>
            <w:r>
              <w:rPr>
                <w:rFonts w:ascii="Calibri" w:hAnsi="Calibri" w:eastAsia="Calibri" w:cs="Calibri"/>
                <w:color w:val="000000"/>
                <w:position w:val="0"/>
                <w:sz w:val="22"/>
                <w:szCs w:val="22"/>
              </w:rPr>
              <w:t xml:space="preserve">Persian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 </w:t>
            </w:r>
            <w:r>
              <w:rPr>
                <w:rFonts w:ascii="Calibri" w:hAnsi="Calibri" w:eastAsia="Calibri" w:cs="Calibri"/>
                <w:color w:val="000000"/>
                <w:position w:val="0"/>
                <w:sz w:val="22"/>
                <w:szCs w:val="22"/>
              </w:rPr>
              <w:t xml:space="preserve">- lemon</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limonia </w:t>
            </w:r>
            <w:r>
              <w:rPr>
                <w:rFonts w:ascii="Calibri" w:hAnsi="Calibri" w:eastAsia="Calibri" w:cs="Calibri"/>
                <w:color w:val="000000"/>
                <w:position w:val="0"/>
                <w:sz w:val="22"/>
                <w:szCs w:val="22"/>
              </w:rPr>
              <w:t xml:space="preserve">– Rangpur lime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macrophylla</w:t>
            </w:r>
            <w:r>
              <w:rPr>
                <w:rFonts w:ascii="Calibri" w:hAnsi="Calibri" w:eastAsia="Calibri" w:cs="Calibri"/>
                <w:color w:val="000000"/>
                <w:position w:val="0"/>
                <w:sz w:val="22"/>
                <w:szCs w:val="22"/>
              </w:rPr>
              <w:t xml:space="preserve"> - alemow</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maxima</w:t>
            </w:r>
            <w:r>
              <w:rPr>
                <w:rFonts w:ascii="Calibri" w:hAnsi="Calibri" w:eastAsia="Calibri" w:cs="Calibri"/>
                <w:color w:val="000000"/>
                <w:position w:val="0"/>
                <w:sz w:val="22"/>
                <w:szCs w:val="22"/>
              </w:rPr>
              <w:t xml:space="preserve"> - pomelo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w:t>
            </w:r>
            <w:r>
              <w:rPr>
                <w:rFonts w:ascii="Calibri" w:hAnsi="Calibri" w:eastAsia="Calibri" w:cs="Calibri"/>
                <w:color w:val="000000"/>
                <w:position w:val="0"/>
                <w:sz w:val="22"/>
                <w:szCs w:val="22"/>
              </w:rPr>
              <w:t xml:space="preserve">- grapefruit</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x paradisi x Poncirus trifoliata</w:t>
            </w:r>
            <w:r>
              <w:rPr>
                <w:rFonts w:ascii="Calibri" w:hAnsi="Calibri" w:eastAsia="Calibri" w:cs="Calibri"/>
                <w:color w:val="000000"/>
                <w:position w:val="0"/>
                <w:sz w:val="22"/>
                <w:szCs w:val="22"/>
              </w:rPr>
              <w:t xml:space="preserve"> - citrumelo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reshni - </w:t>
            </w:r>
            <w:r>
              <w:rPr>
                <w:rFonts w:ascii="Calibri" w:hAnsi="Calibri" w:eastAsia="Calibri" w:cs="Calibri"/>
                <w:color w:val="000000"/>
                <w:position w:val="0"/>
                <w:sz w:val="22"/>
                <w:szCs w:val="22"/>
              </w:rPr>
              <w:t xml:space="preserve">Cleopatra mandarin (rootstock)</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‘Cravo’)</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reticulata </w:t>
            </w:r>
            <w:r>
              <w:rPr>
                <w:rFonts w:ascii="Calibri" w:hAnsi="Calibri" w:eastAsia="Calibri" w:cs="Calibri"/>
                <w:color w:val="000000"/>
                <w:position w:val="0"/>
                <w:sz w:val="22"/>
                <w:szCs w:val="22"/>
              </w:rPr>
              <w:t xml:space="preserve">- mandarin (tangerine ‘Ponkan’)</w:t>
            </w:r>
            <w:r>
              <w:rPr>
                <w:rFonts w:ascii="Calibri" w:hAnsi="Calibri" w:eastAsia="Calibri" w:cs="Calibri"/>
                <w:i/>
                <w:iCs/>
                <w:color w:val="000000"/>
                <w:position w:val="0"/>
                <w:sz w:val="22"/>
                <w:szCs w:val="22"/>
              </w:rPr>
              <w:t xml:space="preserve"> </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r>
        <w:trPr>
          <w:trHeight w:val="0" w:hRule="atLeast"/>
        </w:trPr>
        <w:tc>
          <w:tcPr>
            <w:tcW w:w="2491.197183098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C. sinensis</w:t>
            </w:r>
            <w:r>
              <w:rPr>
                <w:rFonts w:ascii="Calibri" w:hAnsi="Calibri" w:eastAsia="Calibri" w:cs="Calibri"/>
                <w:color w:val="000000"/>
                <w:position w:val="0"/>
                <w:sz w:val="22"/>
                <w:szCs w:val="22"/>
              </w:rPr>
              <w:t xml:space="preserve"> – sweet orange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c>
          <w:tcPr>
            <w:tcW w:w="501.760563380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t>
            </w:r>
          </w:p>
        </w:tc>
      </w:tr>
    </w:tbl>
    <w:p>
      <w:pPr>
        <w:widowControl w:val="on"/>
        <w:pBdr/>
        <w:spacing w:before="0" w:after="0" w:line="240" w:lineRule="auto"/>
        <w:ind w:left="0" w:right="0"/>
        <w:jc w:val="left"/>
      </w:pPr>
      <w:r>
        <w:rPr>
          <w:rFonts w:ascii="Calibri" w:hAnsi="Calibri" w:eastAsia="Calibri" w:cs="Calibri"/>
          <w:color w:val="000000"/>
          <w:sz w:val="22"/>
          <w:szCs w:val="22"/>
        </w:rPr>
        <w:t xml:space="preserve">
+++ highly pathogenic; ++ moderately pathogenic; + weakly pathogenic; ± doubtful.
</w:t>
      </w:r>
    </w:p>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geographical distribution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been reported to be restricted to Argentina, Paraguay and Uruguay (pathotype B) and Brazil (pathotype C) (Rossetti, 1977; Behlau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South America. However, its current distribution is rather uncertain due to the fact that both pathotypes B and C have gradually been replaced by the more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pathotypes.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has not been recorded in the field since 1990 for pathotype B and since 2009 for pathotype C, see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B</w:t>
      </w:r>
    </w:p>
    <w:p>
      <w:pPr>
        <w:widowControl w:val="on"/>
        <w:pBdr/>
        <w:spacing w:before="220" w:after="220" w:line="240" w:lineRule="auto"/>
        <w:ind w:left="0" w:right="0"/>
        <w:jc w:val="both"/>
      </w:pPr>
      <w:r>
        <w:rPr>
          <w:rFonts w:ascii="Calibri" w:hAnsi="Calibri" w:eastAsia="Calibri" w:cs="Calibri"/>
          <w:color w:val="000000"/>
          <w:sz w:val="22"/>
          <w:szCs w:val="22"/>
        </w:rPr>
        <w:t xml:space="preserve">Cancrosis B or South American citrus canker was first observed in North-Eastern Argentina in 1923 in two provinces (Corrientes and Entre Rios), and later in Uruguay in 1936 and Paraguay in 1940 (Fawcett &amp; Bitancourt, 1949;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Patané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These strains disappeared in Argentina during 1978-90 after the introduction of the more virulent A strains in 1974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As far as it could be traced, the last B strain isolated in Argentina dates back to 1990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A similar situation has been observed in Uruguay and Paraguay (Russi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Licciardello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 citri</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aurantifolii</w:t>
      </w:r>
      <w:r>
        <w:rPr>
          <w:rFonts w:ascii="Calibri" w:hAnsi="Calibri" w:eastAsia="Calibri" w:cs="Calibri"/>
          <w:b/>
          <w:bCs/>
          <w:color w:val="000000"/>
          <w:sz w:val="22"/>
          <w:szCs w:val="22"/>
        </w:rPr>
        <w:t xml:space="preserve"> pathotype C</w:t>
      </w:r>
    </w:p>
    <w:p>
      <w:pPr>
        <w:widowControl w:val="on"/>
        <w:pBdr/>
        <w:spacing w:before="220" w:after="220" w:line="240" w:lineRule="auto"/>
        <w:ind w:left="0" w:right="0"/>
        <w:jc w:val="both"/>
      </w:pPr>
      <w:r>
        <w:rPr>
          <w:rFonts w:ascii="Calibri" w:hAnsi="Calibri" w:eastAsia="Calibri" w:cs="Calibri"/>
          <w:color w:val="000000"/>
          <w:sz w:val="22"/>
          <w:szCs w:val="22"/>
        </w:rPr>
        <w:t xml:space="preserve">Limoneiro gallega (also called Galego acid lime necrosis, Galician lemon canker or cancrosis C) was observed for the first time in 1963 on Mexican lime in São Paulo, Brazil. There are two groups of C strains: brown pigmented, less virulent and non-pigmented, slightly more virulent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2012). A strain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very similar to the original C strains, but only pathogenic to the ‘Swingle’ citrumelo rootstock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was described in Severina (São Paulo State). This particular strain induced fewer lesions without erumpent margins, even in young leaves severely infested by the citrus leafminer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that usually increases incidence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Pathotype C strains remained restricted to São Paulo state and were last reported in 2009 on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(Dall’Acqua, 2011; Jaciani, 2012;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The fact that C strains have disappeared, or are at least of very limited occurrence, may be also supported by the fact that when citrus canker was observed in Rio Grande do Norte (previously not known to be affected) on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(main host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on the cultivar Galego, only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was isolated (Amancio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map below is rather uncertain, as no outbreaks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have been reported in citrus orchards in South America since the 2000s. Absence has been confirmed in Argentina and Uruguay but not (yet) in São Paulo (Brazil) and Paraguay.</w:t>
      </w:r>
    </w:p>
    <w:p>
      <w:r>
        <w:drawing>
          <wp:inline distT="0" distB="0" distL="0" distR="0">
            <wp:extent cx="6120000" cy="3067200"/>
            <wp:docPr id="58896968" name="name497668057fb31f93d" descr="XAN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AU_distribution_map.jpg"/>
                    <pic:cNvPicPr/>
                  </pic:nvPicPr>
                  <pic:blipFill>
                    <a:blip r:embed="rId604968057fb31f9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data available in literature predominantly pertains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though it is generally considered that the life cycles of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largely similar (EFSA, 2014, 2019). Extensive descriptions of the biology (including pathogenesis)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can be found in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Caicedo and Villamizar (2021) Naqvi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this has been summarized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Concerning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it can thus be assumed that infection takes place through natural openings (stomata) and wounds created by grove maintenance operations, insects (e.g. </w:t>
      </w:r>
      <w:r>
        <w:rPr>
          <w:rFonts w:ascii="Calibri" w:hAnsi="Calibri" w:eastAsia="Calibri" w:cs="Calibri"/>
          <w:i/>
          <w:iCs/>
          <w:color w:val="000000"/>
          <w:sz w:val="22"/>
          <w:szCs w:val="22"/>
        </w:rPr>
        <w:t xml:space="preserve">Phyllocnistis citrella</w:t>
      </w:r>
      <w:r>
        <w:rPr>
          <w:rFonts w:ascii="Calibri" w:hAnsi="Calibri" w:eastAsia="Calibri" w:cs="Calibri"/>
          <w:color w:val="000000"/>
          <w:sz w:val="22"/>
          <w:szCs w:val="22"/>
        </w:rPr>
        <w:t xml:space="preserve">), or adverse climatic conditions (wind, storms). The bacterium most likely survives in canker lesions, which represent the most biologically significant inoculum source. Splash dispersal of the bacterium caused by rain or irrigation occurs over short distances and allows movement of the inoculum between adult trees or between plants in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reasons behind the disappearance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(less virulent) after the introduction of the virulent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into the affected areas, might be linked to the production of inhibitory compounds, as was demonstrated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Such compounds could be bacteriocins, although they have not been identified as such (Gochez, 2014;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C elicits a hypersensitivity response (HR) in specific citrus species, such as sweet orange and lemon (Brunings &amp; Gabriel, 2003; Cernadas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Pathotype C has a narrow host range, unlike pathotype B strains which do not cause this HR and have a broader host range. An avirulence gene, avrGf2, was discovered in a pathotype C strain, responsible for eliciting a HR in grapefruit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This avrGf2 gene is related to avrGf1 found in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w:t>
      </w:r>
      <w:r>
        <w:rPr>
          <w:rFonts w:ascii="Calibri" w:hAnsi="Calibri" w:eastAsia="Calibri" w:cs="Calibri"/>
          <w:color w:val="000000"/>
          <w:position w:val="4"/>
          <w:sz w:val="22"/>
          <w:szCs w:val="22"/>
          <w:vertAlign w:val="superscript"/>
        </w:rPr>
        <w:t xml:space="preserve">w</w:t>
      </w:r>
      <w:r>
        <w:rPr>
          <w:rFonts w:ascii="Calibri" w:hAnsi="Calibri" w:eastAsia="Calibri" w:cs="Calibri"/>
          <w:color w:val="000000"/>
          <w:sz w:val="22"/>
          <w:szCs w:val="22"/>
        </w:rPr>
        <w:t xml:space="preserve"> strains, which also cause a HR in grapefruit.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contain a transposon in avrGf2, rendering it non-functional. This may explain the broader host range of B strains (Gochez, 2014; Gochez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2015 and 2017). Additional effector genes that differentiate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have been extensively described by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Escalon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summary,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pathotypes B and C lack several key genes important for pathogenesis when compared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A</w:t>
      </w:r>
      <w:r>
        <w:rPr>
          <w:rFonts w:ascii="Calibri" w:hAnsi="Calibri" w:eastAsia="Calibri" w:cs="Calibri"/>
          <w:color w:val="000000"/>
          <w:sz w:val="22"/>
          <w:szCs w:val="22"/>
        </w:rPr>
        <w:t xml:space="preserve"> pathotype. The higher virulence exhibited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as well as their dominance in the field, can be explained by the presence and composition of the Type I and IV Secretion Systems and the Type IV pilus system (Dunger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in comparison with the lower virulence of the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strains,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Both pathotypes B and C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differed when their genomes were compared with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strains. For instance, the absence of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critical for biofilm formation, in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might account for its slow growth rate, also related to a low xanthan gum production and its dependence on glutamate in culture media as a carbon source. This is similar to the slow growth of another citrus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which also lacks the </w:t>
      </w:r>
      <w:r>
        <w:rPr>
          <w:rFonts w:ascii="Calibri" w:hAnsi="Calibri" w:eastAsia="Calibri" w:cs="Calibri"/>
          <w:i/>
          <w:iCs/>
          <w:color w:val="000000"/>
          <w:sz w:val="22"/>
          <w:szCs w:val="22"/>
        </w:rPr>
        <w:t xml:space="preserve">rpf</w:t>
      </w:r>
      <w:r>
        <w:rPr>
          <w:rFonts w:ascii="Calibri" w:hAnsi="Calibri" w:eastAsia="Calibri" w:cs="Calibri"/>
          <w:color w:val="000000"/>
          <w:sz w:val="22"/>
          <w:szCs w:val="22"/>
        </w:rPr>
        <w:t xml:space="preserve">N gene (Moreira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Correct identification of citrus bacterial canker pathogens and related pathogens causing Citrus bacterial spot is critical. Incorrect identification in the USA prompted the removal of thousands of productive citrus trees that were infected only with citrus bacterial spot, a mild disease caused by the related (now largely deregulated)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alfalfa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Extensive description of symptoms on diverse hosts can also be found in Civerolo (1984); Goto (1992);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These bacteria causing citrus canker infect all aerial parts of their hosts. When the disease is severe, defoliation and early fruit drop can occur, but no tree death has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lesions first appear on the lower leaf surface as pin-point oily spots due to water-soaking of the tissue. Later the lesions become visible on both epidermal surfaces as slightly raised pustules or blister-like eruptions. As lesions develop, they increase in size, the epidermis ruptures and the lesions become erumpent, spongy or corky. The pustules then darken and thicken into light tan-brown corky lesions, which are rough to the touch. Eventually, their centre becomes crater-like. Diagnostic symptoms are tissue hyperplasia resulting in cankers sometimes with water-soaked margins and yellow halos surrounding the lesions. Lesions with an atypical morphology (flat or blister-like spots) can be sometimes observed, especially in the case of late fruit infections or lesions on some resistant cultivars. In most hosts wilting is a common symptom of infection.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w:t>
      </w:r>
    </w:p>
    <w:p>
      <w:pPr>
        <w:widowControl w:val="on"/>
        <w:pBdr/>
        <w:spacing w:before="220" w:after="220" w:line="240" w:lineRule="auto"/>
        <w:ind w:left="0" w:right="0"/>
        <w:jc w:val="both"/>
      </w:pPr>
      <w:r>
        <w:rPr>
          <w:rFonts w:ascii="Calibri" w:hAnsi="Calibri" w:eastAsia="Calibri" w:cs="Calibri"/>
          <w:color w:val="000000"/>
          <w:sz w:val="22"/>
          <w:szCs w:val="22"/>
        </w:rPr>
        <w:t xml:space="preserve">[On twigs, the symptoms are similar: raised corky lesions initially surrounded by an oily or water-soaked margin. The lesions are generally irregularly shaped and may be sunken. Pustules may coalesce but chlorosis does not typically surround twig lesions. On removal of the corky layer, dark brown lesions are visible in the healthy green bark tissue. On highly susceptible citrus cultivars, diseased twigs can eventually show dieback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on fruits can appear when they are still small and green and are similar to those on leaves, but tend to have more elevated margins and a sunken centre. These craters do not penetrate deep into the rind. Yellow chlorotic halos may or may not be present. Harvestable infected fruit have a reduced value or can be unmarketable depending on the severity of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citrus canker on fruits may be confused with those of citrus scab (</w:t>
      </w:r>
      <w:r>
        <w:rPr>
          <w:rFonts w:ascii="Calibri" w:hAnsi="Calibri" w:eastAsia="Calibri" w:cs="Calibri"/>
          <w:i/>
          <w:iCs/>
          <w:color w:val="000000"/>
          <w:sz w:val="22"/>
          <w:szCs w:val="22"/>
        </w:rPr>
        <w:t xml:space="preserve">Elsinoe fawcetti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Phaeoramularia</w:t>
      </w:r>
      <w:r>
        <w:rPr>
          <w:rFonts w:ascii="Calibri" w:hAnsi="Calibri" w:eastAsia="Calibri" w:cs="Calibri"/>
          <w:color w:val="000000"/>
          <w:sz w:val="22"/>
          <w:szCs w:val="22"/>
        </w:rPr>
        <w:t xml:space="preserve"> leaf and fruit spot disease (</w:t>
      </w:r>
      <w:r>
        <w:rPr>
          <w:rFonts w:ascii="Calibri" w:hAnsi="Calibri" w:eastAsia="Calibri" w:cs="Calibri"/>
          <w:i/>
          <w:iCs/>
          <w:color w:val="000000"/>
          <w:sz w:val="22"/>
          <w:szCs w:val="22"/>
        </w:rPr>
        <w:t xml:space="preserve">Phaeoramularia angolensis</w:t>
      </w:r>
      <w:r>
        <w:rPr>
          <w:rFonts w:ascii="Calibri" w:hAnsi="Calibri" w:eastAsia="Calibri" w:cs="Calibri"/>
          <w:color w:val="000000"/>
          <w:sz w:val="22"/>
          <w:szCs w:val="22"/>
        </w:rPr>
        <w:t xml:space="preserve">) or greasy spot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Civerolo, 1984;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EFSA, 2014, 2019). Lesions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appear slower and are generally smaller than those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 strains)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EFSA, 2014 and 2019; CABI,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is morphologically similar to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Bacterial cells are Gram-negative rods with a single polar flagellum, non-fluorescent, typically with no diffusible pigment produced on agar media (very rare exceptions of brownish-reddish pigment production occur). After ≥ 3 days of incubation at 28°C, colonies on agar plates are circular, convex, mucoid, shiny and yellow. Very occasionally, strains altered in xanthomonadin pigment production (and therefore cream-white to pale yellow) can be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produce single colonies on agar plates usually after 4-6 days. Occasionally pathotype C strains produce a brown diffusible pigment (Jaciani, 2012). In comparison colonies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citrumelonis</w:t>
      </w:r>
      <w:r>
        <w:rPr>
          <w:rFonts w:ascii="Calibri" w:hAnsi="Calibri" w:eastAsia="Calibri" w:cs="Calibri"/>
          <w:color w:val="000000"/>
          <w:sz w:val="22"/>
          <w:szCs w:val="22"/>
        </w:rPr>
        <w:t xml:space="preserve"> grow more rapidly and usually appear after 2-3 days and 1-2 days, respectively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identification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developed an elective medium for isolation and cultivation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This elective media should contain Difo purified agar as base, as other agars failed to give satisfactory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Serological tests using polyclonal or monoclonal antibodies have been previously developed and can detect both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(Namekata &amp; Oliveira, 1972; Civerolo &amp; Fan, 1982;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monoclonal antibodies raised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failed to react with some pathotype A* strains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could cross-react with unrelated xanthomonads (Alvarez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Moreover, enzyme-linked immunosorbent assays (ELISAs) are inadequate for detecting low bacterial populations but could be used for symptomatic material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Discriminative physiological and biochemical tests for have been described by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Vernière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1993) and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2006).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w:t>
      </w:r>
    </w:p>
    <w:p>
      <w:pPr>
        <w:widowControl w:val="on"/>
        <w:pBdr/>
        <w:spacing w:before="220" w:after="220" w:line="240" w:lineRule="auto"/>
        <w:ind w:left="0" w:right="0"/>
        <w:jc w:val="both"/>
      </w:pPr>
      <w:r>
        <w:rPr>
          <w:rFonts w:ascii="Calibri" w:hAnsi="Calibri" w:eastAsia="Calibri" w:cs="Calibri"/>
          <w:color w:val="000000"/>
          <w:sz w:val="22"/>
          <w:szCs w:val="22"/>
        </w:rPr>
        <w:t xml:space="preserve">Multilocus sequence analysis (MLSA), using e.g., </w:t>
      </w:r>
      <w:r>
        <w:rPr>
          <w:rFonts w:ascii="Calibri" w:hAnsi="Calibri" w:eastAsia="Calibri" w:cs="Calibri"/>
          <w:i/>
          <w:iCs/>
          <w:color w:val="000000"/>
          <w:sz w:val="22"/>
          <w:szCs w:val="22"/>
        </w:rPr>
        <w:t xml:space="preserve">atpD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dnaK</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w:t>
      </w:r>
      <w:r>
        <w:rPr>
          <w:rFonts w:ascii="Calibri" w:hAnsi="Calibri" w:eastAsia="Calibri" w:cs="Calibri"/>
          <w:color w:val="000000"/>
          <w:sz w:val="22"/>
          <w:szCs w:val="22"/>
        </w:rPr>
        <w:t xml:space="preserve"> genes can reliably differentiate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(Bui Thi Ngoc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Dall’Acqua, 2011). Conventional PCR and real-time PCR primers that discriminate between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and C have been described by Cubero &amp; Graham (2002, 2005); Delcourt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Robène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Yasuhara-Bell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are susceptible to bacteriophage CP1 and CP2 whereas those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are not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citing the thesis of Namekata (1971). Destefano &amp; Rodrigues (2002) found that pigment producing C strains did not differ in 16S-23S intergenic region sequences and in pathogenicity, however in other studies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pigment producing strains were less virulent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than non-pigmented strains and they could be discriminated by ERIC-PCR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7/44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(EPPO, 2023b) and IPPC Diagnostic protocol DP 6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can be spread by the movement of contaminated plant propagative material, agricultural equipment, or clothes used for grove/nursery maintenance operations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Seven significant introduction pathways were identified and evaluated by the EFSA Plant Health Panel (EFSA, 2014, 2019):</w:t>
      </w:r>
    </w:p>
    <w:p>
      <w:pPr>
        <w:numPr>
          <w:ilvl w:val="0"/>
          <w:numId w:val="1223864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commercial trade</w:t>
      </w:r>
    </w:p>
    <w:p>
      <w:pPr>
        <w:numPr>
          <w:ilvl w:val="0"/>
          <w:numId w:val="1223864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fruit and/or leaves import by passenger traffic</w:t>
      </w:r>
    </w:p>
    <w:p>
      <w:pPr>
        <w:numPr>
          <w:ilvl w:val="0"/>
          <w:numId w:val="1223864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commercial trade</w:t>
      </w:r>
    </w:p>
    <w:p>
      <w:pPr>
        <w:numPr>
          <w:ilvl w:val="0"/>
          <w:numId w:val="1223864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plants for planting import by passenger traffic</w:t>
      </w:r>
    </w:p>
    <w:p>
      <w:pPr>
        <w:numPr>
          <w:ilvl w:val="0"/>
          <w:numId w:val="1223864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commercial trade</w:t>
      </w:r>
    </w:p>
    <w:p>
      <w:pPr>
        <w:numPr>
          <w:ilvl w:val="0"/>
          <w:numId w:val="1223864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Ornamental rutaceous plants for planting import by passenger traffic</w:t>
      </w:r>
    </w:p>
    <w:p>
      <w:pPr>
        <w:numPr>
          <w:ilvl w:val="0"/>
          <w:numId w:val="122386483"/>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Citrus and rutaceous leaves and twigs, commercial trade</w:t>
      </w:r>
    </w:p>
    <w:p>
      <w:pPr>
        <w:widowControl w:val="on"/>
        <w:pBdr/>
        <w:spacing w:before="0" w:after="0" w:line="240" w:lineRule="auto"/>
        <w:ind w:left="0" w:right="0"/>
        <w:jc w:val="both"/>
      </w:pPr>
      <w:r>
        <w:rPr>
          <w:rFonts w:ascii="Calibri" w:hAnsi="Calibri" w:eastAsia="Calibri" w:cs="Calibri"/>
          <w:color w:val="000000"/>
          <w:sz w:val="22"/>
          <w:szCs w:val="22"/>
        </w:rPr>
        <w:t xml:space="preserve">[Pathways consisting of plants or plant parts for planting have the highest risk for subsequent (and likely) establishment of the pathogen, which would be very likely to survive during transport and whose probability of transfer to a suitable host is very likely based on the intended use of the material and the large availability of citrus and other rutaceous genera in the EPPO region, either in commercial orchards or in private and public areas. The probability of establishment would be even higher in the case of plants or plant parts illegally imported through the passenger pathway or mail, as they could escape current regulations for official importation of rutaceous plant propagative material or whole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(the causal agents of citrus huanglongbing) and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citrus canker is one of the main phytosanitary threats for citrus industries worldwide. Citrus canker has had and still has serious direct and indirect economic impacts. Direct impacts included alteration of fruit quality and yield (due to early fruit drop), the severity of the effect being influenced by the host species, the bacterial strain and the environmental conditions. Indirect impacts include restricted access to fruit export markets and undesirable consequences of chemical treatments.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due to its generally low virulence and restricted host range, easy control by copper containing bactericides and the replacement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by the more virulent strains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South America, the current impact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areas where it might still be present is currently very low, if not nil. In Argentina, where B strains occurred for 40 years only in a small area with little impact, disappearing and replaced by pathotype A strains around 1990 (Goto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Jaciani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Kapp, 2011; Jaciani, 2012;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Nociti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described the occurrence of pathotype C as restricted to a few municipalities in the state of São Paulo, Brazil only, without causing significant economic damage.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explained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 the control strategy against citrus canker is based on integrated pest management (IPM), which aims to reduce the rate of infection and spread of the disease, and attempt to keep it below economically damaging levels. IPM combines several control options such as (i) the production of healthy citrus nursery plants for new grove establishment through certified programs, (ii) the recurrent physical elimination of inoculum sources, (iii) the avoidance of grove/nursey maintenance operations when the plant canopy is wet, (iv) the use of cultural practices minimizing infection and spread including general prophylactic measures applied to citrus production sites during grove/nursery maintenance operations, rootstocks controlling high tree vigour, drip irrigation, efficient windbreaks, preventive application of bactericides timed at host susceptibility peaks (most often using copper-based compounds), disinfection of agricultural equipment and (v) the use of partially resistant citrus lines or molecules inducing plant defence. The integrated approach described above, was and is primarily achieved for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but it would manage and control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(Leite &amp; Mohan, 1990; Dewdney &amp; Johnson, 2023). B strains can effectively be controlled by copper containing bactericides (Canteros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a comprehensive understanding of the various control measures and possibilities in managing citrus canker, recent publications by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Das (2003), de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Ference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EFSA (2014, 2019) offer valuable insights.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 associated with citrus canker were estimated to be likely to establish and spread in the European Union if reaching susceptible hosts (EFSA, 2014; 2019). Citrus canker is a risk for the EPPO region where citrus is widely commercially cultivated and largely available in public and private non-commercial areas. Once established in a region, its spread would be difficult to control. Therefore, the best risk reduction options to be taken are the ones aiming to maintain its absence.</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citrus canker can occur through the movement of diseased, latently infected or contaminated propagating material (e.g., budwood, rootstock, seedlings and budded trees, and also as its trade is increasing ornamental host plants) and fruits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Golmohammadi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2014, 2019).</w:t>
      </w:r>
    </w:p>
    <w:p>
      <w:pPr>
        <w:widowControl w:val="on"/>
        <w:pBdr/>
        <w:spacing w:before="220" w:after="220" w:line="240" w:lineRule="auto"/>
        <w:ind w:left="0" w:right="0"/>
        <w:jc w:val="both"/>
      </w:pPr>
      <w:r>
        <w:rPr>
          <w:rFonts w:ascii="Calibri" w:hAnsi="Calibri" w:eastAsia="Calibri" w:cs="Calibri"/>
          <w:color w:val="000000"/>
          <w:sz w:val="22"/>
          <w:szCs w:val="22"/>
        </w:rPr>
        <w:t xml:space="preserve">Asiatic bacterial canker, particularly caused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pathotype A, presents the most significant risk for the European region, primarily concentrated around the Mediterranean Basin. This risk is considerably higher compared to the risk posed by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Pathotype B strains have not been observed since 1990 and cause only a mild disease and the pathotype C strains, not observed after 2009, are even of a lesser concern, because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is hardly cultivated in the Mediterranean region (EFSA, 2014, 2019). It is worth noting that the citrus leaf miner </w:t>
      </w:r>
      <w:r>
        <w:rPr>
          <w:rFonts w:ascii="Calibri" w:hAnsi="Calibri" w:eastAsia="Calibri" w:cs="Calibri"/>
          <w:i/>
          <w:iCs/>
          <w:color w:val="000000"/>
          <w:sz w:val="22"/>
          <w:szCs w:val="22"/>
        </w:rPr>
        <w:t xml:space="preserve">Phyllocnystis citrella</w:t>
      </w:r>
      <w:r>
        <w:rPr>
          <w:rFonts w:ascii="Calibri" w:hAnsi="Calibri" w:eastAsia="Calibri" w:cs="Calibri"/>
          <w:color w:val="000000"/>
          <w:sz w:val="22"/>
          <w:szCs w:val="22"/>
        </w:rPr>
        <w:t xml:space="preserve">, that can exacerbate the disease and facilitate its spread, is widely distributed in the citrus-producing areas of the Mediterranean Basin. Nonetheless there is at present no citrus bacterial canker reported in the EPPO region, and precautionary phytosanitary measures should be implemented for all forms of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as outlined in this datasheet (Timpanaro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2021). This proactive approach aims to prevent and mitigate potential outbreaks of citrus bacterial canker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once transferred to a suitable host, citrus canker can only be controlled with strong phytosanitary measures. Eradication has been attempted against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with different results, it was successful in Australia, unsuccessful in the USA for example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Eradication seems a feasible option for the less aggressive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should the latter be introduced into new areas. As a general remark, successful eradication requires efficient surveillance systems as well as quick and appropriate management measures on diseased and exposed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citrus canker, EPPO countries are recommended to prohibit the importation of citrus plants for planting and cut branches from areas or countries where the disease occurs. For the EU, the current phytosanitary measures (EU Regulation 2019/2072, 2019) are targeting both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summary, these measures include a prohibition to import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from third countries.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Naringi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Swinglea</w:t>
      </w:r>
      <w:r>
        <w:rPr>
          <w:rFonts w:ascii="Calibri" w:hAnsi="Calibri" w:eastAsia="Calibri" w:cs="Calibri"/>
          <w:color w:val="000000"/>
          <w:sz w:val="22"/>
          <w:szCs w:val="22"/>
        </w:rPr>
        <w:t xml:space="preserve"> can only be imported from pest-free third countries or pest-free areas. Imports of fruit are also subject to restrictions, such as fruit should be free from peduncles and leaves and should originate pest-free third countries, pest-free areas or pest-free places of production. These measures have been described in more details in the EPPO datasheet on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(EPPO, 2023a).</w:t>
      </w:r>
    </w:p>
    <w:p>
      <w:pPr>
        <w:widowControl w:val="on"/>
        <w:pBdr/>
        <w:spacing w:before="220" w:after="220" w:line="240" w:lineRule="auto"/>
        <w:ind w:left="0" w:right="0"/>
        <w:jc w:val="both"/>
      </w:pPr>
      <w:r>
        <w:rPr>
          <w:rFonts w:ascii="Calibri" w:hAnsi="Calibri" w:eastAsia="Calibri" w:cs="Calibri"/>
          <w:color w:val="000000"/>
          <w:sz w:val="22"/>
          <w:szCs w:val="22"/>
        </w:rPr>
        <w:t xml:space="preserve">[National regulatory control systems are recommended to EPPO countries for the surveillance, early detection and eradication of citrus canker, and for containment measures to prevent spread during eradication. Efficient and regular surveillance actions are recommended as they are key in enabling early detection and prompt implementation of eradication measures. In citrus-growing areas, inspectors, industry experts and workers should be trained to recognize citrus canker symptoms and host plants. Countries should have access to laboratories with trained diagnosticians, experienced and competent in the identification of the pathogen according the EPPO PM 7/44 Diagnostic Protocol (EPPO, 2023b)].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Ah-You N, Gagnevin L, Grimont PAD, Brisse S, Nesme X, Chiroleu F, Bui Thi Ngoc L, Jouen E, Lefeuvre P, Vernière C &amp; Pruvost O (2009) Polyphasic characterization of xanthomonads pathogenic to </w:t>
      </w:r>
      <w:r>
        <w:rPr>
          <w:rFonts w:ascii="Calibri" w:hAnsi="Calibri" w:eastAsia="Calibri" w:cs="Calibri"/>
          <w:i/>
          <w:iCs/>
          <w:color w:val="000000"/>
          <w:sz w:val="22"/>
          <w:szCs w:val="22"/>
        </w:rPr>
        <w:t xml:space="preserve">Anacardiaceae </w:t>
      </w:r>
      <w:r>
        <w:rPr>
          <w:rFonts w:ascii="Calibri" w:hAnsi="Calibri" w:eastAsia="Calibri" w:cs="Calibri"/>
          <w:color w:val="000000"/>
          <w:sz w:val="22"/>
          <w:szCs w:val="22"/>
        </w:rPr>
        <w:t xml:space="preserve">and their relatedness to different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306-318. </w:t>
      </w:r>
      <w:hyperlink r:id="rId658068057fb3227e1" w:history="1">
        <w:r>
          <w:rPr>
            <w:rFonts w:ascii="Calibri" w:hAnsi="Calibri" w:eastAsia="Calibri" w:cs="Calibri"/>
            <w:color w:val="0000CC"/>
            <w:sz w:val="22"/>
            <w:szCs w:val="22"/>
            <w:u w:val="single"/>
          </w:rPr>
          <w:t xml:space="preserve">https://doi.org/10.1099/ijs.0.65453-0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Alvarez AM, Benedict AA, Mizumoto CY, Pollard LW &amp; Civerolo EL (1991) Analysis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 citrumelo</w:t>
      </w:r>
      <w:r>
        <w:rPr>
          <w:rFonts w:ascii="Calibri" w:hAnsi="Calibri" w:eastAsia="Calibri" w:cs="Calibri"/>
          <w:color w:val="000000"/>
          <w:sz w:val="22"/>
          <w:szCs w:val="22"/>
        </w:rPr>
        <w:t xml:space="preserve"> with monoclonal antibodies.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857-865. </w:t>
      </w:r>
      <w:hyperlink r:id="rId111468057fb3228be" w:history="1">
        <w:r>
          <w:rPr>
            <w:rFonts w:ascii="Calibri" w:hAnsi="Calibri" w:eastAsia="Calibri" w:cs="Calibri"/>
            <w:color w:val="0000CC"/>
            <w:sz w:val="22"/>
            <w:szCs w:val="22"/>
            <w:u w:val="single"/>
          </w:rPr>
          <w:t xml:space="preserve">https://doi.org/10.1094/Phyto-81-857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Amancio LCS, Baia ADB, Souza EB, Sales-Júnior R, Negreiros AMP, Balbino VQ &amp; Gama MAS (2021) First report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causing citrus canker on lime in Rio Grande do Norte,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12, 4148. </w:t>
      </w:r>
      <w:hyperlink r:id="rId577468057fb322970" w:history="1">
        <w:r>
          <w:rPr>
            <w:rFonts w:ascii="Calibri" w:hAnsi="Calibri" w:eastAsia="Calibri" w:cs="Calibri"/>
            <w:color w:val="0000CC"/>
            <w:sz w:val="22"/>
            <w:szCs w:val="22"/>
            <w:u w:val="single"/>
          </w:rPr>
          <w:t xml:space="preserve">https://doi.org/10.1094/PDIS-11-20-2498-PDN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Bansal K, Kumar S &amp; Patil PB (2022) Phylo-taxonogenomics supports revision of taxonomic status of 20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pathovars to Xanthomonas citri.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1201-1207. </w:t>
      </w:r>
      <w:hyperlink r:id="rId874268057fb3229fa" w:history="1">
        <w:r>
          <w:rPr>
            <w:rFonts w:ascii="Calibri" w:hAnsi="Calibri" w:eastAsia="Calibri" w:cs="Calibri"/>
            <w:color w:val="0000CC"/>
            <w:sz w:val="22"/>
            <w:szCs w:val="22"/>
            <w:u w:val="single"/>
          </w:rPr>
          <w:t xml:space="preserve">https://doi.org/10.1094/PHYTO-08-21-0342-SC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Behlau F (2020) An overview of citrus canker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 </w:t>
      </w:r>
      <w:hyperlink r:id="rId813968057fb322a6b" w:history="1">
        <w:r>
          <w:rPr>
            <w:rFonts w:ascii="Calibri" w:hAnsi="Calibri" w:eastAsia="Calibri" w:cs="Calibri"/>
            <w:color w:val="0000CC"/>
            <w:sz w:val="22"/>
            <w:szCs w:val="22"/>
            <w:u w:val="single"/>
          </w:rPr>
          <w:t xml:space="preserve">https://doi.org/10.1007/s40858-020-00377-2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(1957) O cancro cítrico. </w:t>
      </w:r>
      <w:r>
        <w:rPr>
          <w:rFonts w:ascii="Calibri" w:hAnsi="Calibri" w:eastAsia="Calibri" w:cs="Calibri"/>
          <w:i/>
          <w:iCs/>
          <w:color w:val="000000"/>
          <w:sz w:val="22"/>
          <w:szCs w:val="22"/>
        </w:rPr>
        <w:t xml:space="preserve">Biológico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Brunings AM &amp; Gabriel DW (2003)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breaking the surface.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141-157.</w:t>
      </w:r>
    </w:p>
    <w:p>
      <w:pPr>
        <w:widowControl w:val="on"/>
        <w:pBdr/>
        <w:spacing w:before="220" w:after="220" w:line="240" w:lineRule="auto"/>
        <w:ind w:left="0" w:right="0"/>
        <w:jc w:val="left"/>
      </w:pPr>
      <w:r>
        <w:rPr>
          <w:rFonts w:ascii="Calibri" w:hAnsi="Calibri" w:eastAsia="Calibri" w:cs="Calibri"/>
          <w:color w:val="000000"/>
          <w:sz w:val="22"/>
          <w:szCs w:val="22"/>
        </w:rPr>
        <w:t xml:space="preserve">Bui Thi Ngoc L, Vernière C, Jouen E, Ah-You N, Lefeuvre P, Chiroleu F, Gagnevin L &amp; Pruvost O (2010) Amplified fragment length polymorphism and multilocus sequence analysis-based genotypic relatedness among pathogenic variants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bilvae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515-525. </w:t>
      </w:r>
      <w:hyperlink r:id="rId543068057fb322c43" w:history="1">
        <w:r>
          <w:rPr>
            <w:rFonts w:ascii="Calibri" w:hAnsi="Calibri" w:eastAsia="Calibri" w:cs="Calibri"/>
            <w:color w:val="0000CC"/>
            <w:sz w:val="22"/>
            <w:szCs w:val="22"/>
            <w:u w:val="single"/>
          </w:rPr>
          <w:t xml:space="preserve">https://doi.org/10.1099/ijs.0.009514-0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Caicedo JC &amp; Villamizar S (2021)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pathogenicity, a Review. </w:t>
      </w:r>
      <w:r>
        <w:rPr>
          <w:rFonts w:ascii="Calibri" w:hAnsi="Calibri" w:eastAsia="Calibri" w:cs="Calibri"/>
          <w:i/>
          <w:iCs/>
          <w:color w:val="000000"/>
          <w:sz w:val="22"/>
          <w:szCs w:val="22"/>
        </w:rPr>
        <w:t xml:space="preserve">IntechOpen</w:t>
      </w:r>
      <w:r>
        <w:rPr>
          <w:rFonts w:ascii="Calibri" w:hAnsi="Calibri" w:eastAsia="Calibri" w:cs="Calibri"/>
          <w:color w:val="000000"/>
          <w:sz w:val="22"/>
          <w:szCs w:val="22"/>
        </w:rPr>
        <w:t xml:space="preserve">. </w:t>
      </w:r>
      <w:hyperlink r:id="rId137268057fb322cfd" w:history="1">
        <w:r>
          <w:rPr>
            <w:rFonts w:ascii="Calibri" w:hAnsi="Calibri" w:eastAsia="Calibri" w:cs="Calibri"/>
            <w:color w:val="0000CC"/>
            <w:sz w:val="22"/>
            <w:szCs w:val="22"/>
            <w:u w:val="single"/>
          </w:rPr>
          <w:t xml:space="preserve">https://doi.org/10.5772/intechopen.97776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Zagory D &amp; Stall RE (1985) A medium for cultivation of the B-strain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cause of cancrosis B in Argentina and Uruguay.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122-123.</w:t>
      </w:r>
    </w:p>
    <w:p>
      <w:pPr>
        <w:widowControl w:val="on"/>
        <w:pBdr/>
        <w:spacing w:before="220" w:after="220" w:line="240" w:lineRule="auto"/>
        <w:ind w:left="0" w:right="0"/>
        <w:jc w:val="left"/>
      </w:pPr>
      <w:r>
        <w:rPr>
          <w:rFonts w:ascii="Calibri" w:hAnsi="Calibri" w:eastAsia="Calibri" w:cs="Calibri"/>
          <w:color w:val="000000"/>
          <w:sz w:val="22"/>
          <w:szCs w:val="22"/>
        </w:rPr>
        <w:t xml:space="preserve">Canteros BI, Gochez AM &amp; Moschini RC (2017) Management of citrus canker in Argentina, a success story.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441-449. </w:t>
      </w:r>
      <w:hyperlink r:id="rId856468057fb322e16" w:history="1">
        <w:r>
          <w:rPr>
            <w:rFonts w:ascii="Calibri" w:hAnsi="Calibri" w:eastAsia="Calibri" w:cs="Calibri"/>
            <w:color w:val="0000CC"/>
            <w:sz w:val="22"/>
            <w:szCs w:val="22"/>
            <w:u w:val="single"/>
          </w:rPr>
          <w:t xml:space="preserve">https://doi.org/10.5423/PPJ.RW.03.2017.0071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Cernadas RA, Camillo LR &amp; Benedetti CE (2008) Transcriptional analysis of the sweet orange interaction with the citrus canker pathogens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609-631.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Compendium: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 (</w:t>
      </w:r>
      <w:r>
        <w:rPr>
          <w:rFonts w:ascii="Calibri" w:hAnsi="Calibri" w:eastAsia="Calibri" w:cs="Calibri"/>
          <w:color w:val="000000"/>
          <w:sz w:val="22"/>
          <w:szCs w:val="22"/>
        </w:rPr>
        <w:t xml:space="preserve">Asiatic citrus canker</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hyperlink r:id="rId376468057fb322f9c" w:history="1">
        <w:r>
          <w:rPr>
            <w:rFonts w:ascii="Calibri" w:hAnsi="Calibri" w:eastAsia="Calibri" w:cs="Calibri"/>
            <w:color w:val="0000CC"/>
            <w:sz w:val="22"/>
            <w:szCs w:val="22"/>
            <w:u w:val="single"/>
          </w:rPr>
          <w:t xml:space="preserve">https://www.cabidigitallibrary.org/doi/10.1079/cabicompendium.56921</w:t>
        </w:r>
      </w:hyperlink>
      <w:r>
        <w:rPr>
          <w:rFonts w:ascii="Calibri" w:hAnsi="Calibri" w:eastAsia="Calibri" w:cs="Calibri"/>
          <w:color w:val="000000"/>
          <w:sz w:val="22"/>
          <w:szCs w:val="22"/>
        </w:rPr>
        <w:t xml:space="preserve"> (last accessed 23-10-2023)</w:t>
      </w:r>
    </w:p>
    <w:p>
      <w:pPr>
        <w:widowControl w:val="on"/>
        <w:pBdr/>
        <w:spacing w:before="220" w:after="220" w:line="240" w:lineRule="auto"/>
        <w:ind w:left="0" w:right="0"/>
        <w:jc w:val="left"/>
      </w:pPr>
      <w:r>
        <w:rPr>
          <w:rFonts w:ascii="Calibri" w:hAnsi="Calibri" w:eastAsia="Calibri" w:cs="Calibri"/>
          <w:color w:val="000000"/>
          <w:sz w:val="22"/>
          <w:szCs w:val="22"/>
        </w:rPr>
        <w:t xml:space="preserve">Chakravarti BP, Sarma B, Jain KL &amp; Prasad CKP (1984) A bacterial leaf spot of bael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Correa) in Rajasthan and a revived name of the bacterium [wood apple, India].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488.</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(1984) Bacterial canker disease of citrus. </w:t>
      </w:r>
      <w:r>
        <w:rPr>
          <w:rFonts w:ascii="Calibri" w:hAnsi="Calibri" w:eastAsia="Calibri" w:cs="Calibri"/>
          <w:i/>
          <w:iCs/>
          <w:color w:val="000000"/>
          <w:sz w:val="22"/>
          <w:szCs w:val="22"/>
        </w:rPr>
        <w:t xml:space="preserve">Journal of the Rio Grande Valley Horticultural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&amp; Fan F (1982)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detection and identification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231–236. </w:t>
      </w:r>
      <w:hyperlink r:id="rId728468057fb32312c" w:history="1">
        <w:r>
          <w:rPr>
            <w:rFonts w:ascii="Calibri" w:hAnsi="Calibri" w:eastAsia="Calibri" w:cs="Calibri"/>
            <w:color w:val="0000CC"/>
            <w:sz w:val="22"/>
            <w:szCs w:val="22"/>
            <w:u w:val="single"/>
          </w:rPr>
          <w:t xml:space="preserve">https://doi.org/10.1094/PD-66-231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792-806. </w:t>
      </w:r>
      <w:hyperlink r:id="rId218668057fb323209"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(2002) Genetic relationship among worldwide strains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causing canker in citrus species and design of new primers for their identification by PCR.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1257-1264. </w:t>
      </w:r>
      <w:hyperlink r:id="rId289468057fb32329f" w:history="1">
        <w:r>
          <w:rPr>
            <w:rFonts w:ascii="Calibri" w:hAnsi="Calibri" w:eastAsia="Calibri" w:cs="Calibri"/>
            <w:color w:val="0000CC"/>
            <w:sz w:val="22"/>
            <w:szCs w:val="22"/>
            <w:u w:val="single"/>
          </w:rPr>
          <w:t xml:space="preserve">https://doi.org/10.1128/AEM.68.3.1257-1264.2002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Cubero J &amp; Graham JH (2005) Quantitative real-time polymerase chain reaction for bacterial enumeration and allelic discrimination to differentiate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strains on citrus.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1333–40. </w:t>
      </w:r>
      <w:hyperlink r:id="rId873368057fb323323" w:history="1">
        <w:r>
          <w:rPr>
            <w:rFonts w:ascii="Calibri" w:hAnsi="Calibri" w:eastAsia="Calibri" w:cs="Calibri"/>
            <w:color w:val="0000CC"/>
            <w:sz w:val="22"/>
            <w:szCs w:val="22"/>
            <w:u w:val="single"/>
          </w:rPr>
          <w:t xml:space="preserve">https://doi.org/10.1094/PHYTO-95-1333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Dall’Acqua FC (2011) Análise por sequências multilocus de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MSc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Jaboticabal, Brazil, 29 pp.</w:t>
      </w:r>
    </w:p>
    <w:p>
      <w:pPr>
        <w:widowControl w:val="on"/>
        <w:pBdr/>
        <w:spacing w:before="220" w:after="220" w:line="240" w:lineRule="auto"/>
        <w:ind w:left="0" w:right="0"/>
        <w:jc w:val="left"/>
      </w:pPr>
      <w:r>
        <w:rPr>
          <w:rFonts w:ascii="Calibri" w:hAnsi="Calibri" w:eastAsia="Calibri" w:cs="Calibri"/>
          <w:color w:val="000000"/>
          <w:sz w:val="22"/>
          <w:szCs w:val="22"/>
        </w:rPr>
        <w:t xml:space="preserve">Das AK (2003) Citrus canker – A review. </w:t>
      </w:r>
      <w:r>
        <w:rPr>
          <w:rFonts w:ascii="Calibri" w:hAnsi="Calibri" w:eastAsia="Calibri" w:cs="Calibri"/>
          <w:i/>
          <w:iCs/>
          <w:color w:val="000000"/>
          <w:sz w:val="22"/>
          <w:szCs w:val="22"/>
        </w:rPr>
        <w:t xml:space="preserve">Journal of Applied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52-60.</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A, Ferro J, Reinach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Comparison of the genomes of two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pathogens with differing host specificities.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w:t>
      </w:r>
      <w:r>
        <w:rPr>
          <w:rFonts w:ascii="Calibri" w:hAnsi="Calibri" w:eastAsia="Calibri" w:cs="Calibri"/>
          <w:color w:val="000000"/>
          <w:sz w:val="22"/>
          <w:szCs w:val="22"/>
        </w:rPr>
        <w:t xml:space="preserve">, 459-463 (2002). </w:t>
      </w:r>
      <w:hyperlink r:id="rId904768057fb3234c5" w:history="1">
        <w:r>
          <w:rPr>
            <w:rFonts w:ascii="Calibri" w:hAnsi="Calibri" w:eastAsia="Calibri" w:cs="Calibri"/>
            <w:color w:val="0000CC"/>
            <w:sz w:val="22"/>
            <w:szCs w:val="22"/>
            <w:u w:val="single"/>
          </w:rPr>
          <w:t xml:space="preserve">https://doi.org/10.1038/417459a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Carvalho SA, Nunes WMC, Belasque Jr J, Machado MA, Croce Filho J, Bock CH &amp; Abdo Z (2015) Comparison of resistance to Asiatic citrus canker among different genotypes of Citrus in a long-term canker-resistance field screening experiment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207-218. </w:t>
      </w:r>
      <w:hyperlink r:id="rId785468057fb323537" w:history="1">
        <w:r>
          <w:rPr>
            <w:rFonts w:ascii="Calibri" w:hAnsi="Calibri" w:eastAsia="Calibri" w:cs="Calibri"/>
            <w:color w:val="0000CC"/>
            <w:sz w:val="22"/>
            <w:szCs w:val="22"/>
            <w:u w:val="single"/>
          </w:rPr>
          <w:t xml:space="preserve">https://doi.org/10.1094/PDIS-04-14-0384-RE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Delcourt S, Vernière C, Boyer C, Pruvost O, Hostachy B &amp; Robène-Soustrade I (2013) Revisiting the specificity of PCR primers for diagnostics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by experimental and in silico analyses.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373-378. </w:t>
      </w:r>
      <w:hyperlink r:id="rId484768057fb3235dd" w:history="1">
        <w:r>
          <w:rPr>
            <w:rFonts w:ascii="Calibri" w:hAnsi="Calibri" w:eastAsia="Calibri" w:cs="Calibri"/>
            <w:color w:val="0000CC"/>
            <w:sz w:val="22"/>
            <w:szCs w:val="22"/>
            <w:u w:val="single"/>
          </w:rPr>
          <w:t xml:space="preserve">https://doi.org/10.1094/PDIS-04-12-0351-RE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Destefano SAL &amp;Rodrigues NJ (2002) Characterization of pigment producer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(C Type).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&amp; Johnson EG (2023) 2023–2024 Florida citrus production guide: citrus canker. University of Florida, Institute of Food and Agricultural Sciences, FL, USA. </w:t>
      </w:r>
      <w:hyperlink r:id="rId182668057fb3236ad" w:history="1">
        <w:r>
          <w:rPr>
            <w:rFonts w:ascii="Calibri" w:hAnsi="Calibri" w:eastAsia="Calibri" w:cs="Calibri"/>
            <w:color w:val="0000CC"/>
            <w:sz w:val="22"/>
            <w:szCs w:val="22"/>
            <w:u w:val="single"/>
          </w:rPr>
          <w:t xml:space="preserve">https://edis.ifas.ufl.edu/publication/CG040</w:t>
        </w:r>
      </w:hyperlink>
      <w:r>
        <w:rPr>
          <w:rFonts w:ascii="Calibri" w:hAnsi="Calibri" w:eastAsia="Calibri" w:cs="Calibri"/>
          <w:color w:val="000000"/>
          <w:sz w:val="22"/>
          <w:szCs w:val="22"/>
        </w:rPr>
        <w:t xml:space="preserve"> (last accessed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gram-negative bacterial plant pathogens. </w:t>
      </w:r>
      <w:r>
        <w:rPr>
          <w:rFonts w:ascii="Calibri" w:hAnsi="Calibri" w:eastAsia="Calibri" w:cs="Calibri"/>
          <w:i/>
          <w:iCs/>
          <w:color w:val="000000"/>
          <w:sz w:val="22"/>
          <w:szCs w:val="22"/>
        </w:rPr>
        <w:t xml:space="preserve">Zentralblatt für Bakteriologie Parasitenkunde, Infektionskrankheiten und Hygiene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Dunger G, Guzzo CR, Andrade MO, Jones JB &amp; Farah CS (2014)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type IV Pilus is required for twitching motility, biofilm development, and adherence. </w:t>
      </w:r>
      <w:r>
        <w:rPr>
          <w:rFonts w:ascii="Calibri" w:hAnsi="Calibri" w:eastAsia="Calibri" w:cs="Calibri"/>
          <w:i/>
          <w:iCs/>
          <w:color w:val="000000"/>
          <w:sz w:val="22"/>
          <w:szCs w:val="22"/>
        </w:rPr>
        <w:t xml:space="preserve">Molecular Plant Microbe Interactions</w:t>
      </w:r>
      <w:r>
        <w:rPr>
          <w:rFonts w:ascii="Calibri" w:hAnsi="Calibri" w:eastAsia="Calibri" w:cs="Calibri"/>
          <w:color w:val="000000"/>
          <w:sz w:val="22"/>
          <w:szCs w:val="22"/>
        </w:rPr>
        <w:t xml:space="preserve"> 27, 1132-1147. </w:t>
      </w:r>
      <w:hyperlink r:id="rId712868057fb3237ad" w:history="1">
        <w:r>
          <w:rPr>
            <w:rFonts w:ascii="Calibri" w:hAnsi="Calibri" w:eastAsia="Calibri" w:cs="Calibri"/>
            <w:color w:val="0000CC"/>
            <w:sz w:val="22"/>
            <w:szCs w:val="22"/>
            <w:u w:val="single"/>
          </w:rPr>
          <w:t xml:space="preserve">https://doi.org/10.1094/MPMI-06-14-0184-R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IX.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Dowson 1939. In: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Baker R, Bragard C, Candresse T. Gilioli G, Grégoire JC, Holb I, Jeger MJ, Karadjova OE, Magnusson C, Makowski D, Manceau C, Navajas M, Rafoss T, Rossi V, Schans J, Schrader G, Urek G, Van Lenteren JC, Vloutoglou I, Winter S, Van der Werf W, Pruvost O, Schans J, Vernière C, Kozelska S, Goumperis T &amp; Schulz OM (2014) Scientific Opinion on the risk to plant health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3556. </w:t>
      </w:r>
      <w:hyperlink r:id="rId617768057fb323964" w:history="1">
        <w:r>
          <w:rPr>
            <w:rFonts w:ascii="Calibri" w:hAnsi="Calibri" w:eastAsia="Calibri" w:cs="Calibri"/>
            <w:color w:val="0000CC"/>
            <w:sz w:val="22"/>
            <w:szCs w:val="22"/>
            <w:u w:val="single"/>
          </w:rPr>
          <w:t xml:space="preserve">https://doi.org/10.2903/j.efsa.2012.3027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Vos S, Camilleri M, Diakaki M (2019) Pest survey card on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pv. citri</w:t>
      </w:r>
      <w:r>
        <w:rPr>
          <w:rFonts w:ascii="Calibri" w:hAnsi="Calibri" w:eastAsia="Calibri" w:cs="Calibri"/>
          <w:color w:val="000000"/>
          <w:sz w:val="22"/>
          <w:szCs w:val="22"/>
        </w:rPr>
        <w:t xml:space="preserve"> and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2019:EN-1587. 25 pp. </w:t>
      </w:r>
      <w:hyperlink r:id="rId146168057fb323a1e" w:history="1">
        <w:r>
          <w:rPr>
            <w:rFonts w:ascii="Calibri" w:hAnsi="Calibri" w:eastAsia="Calibri" w:cs="Calibri"/>
            <w:color w:val="0000CC"/>
            <w:sz w:val="22"/>
            <w:szCs w:val="22"/>
            <w:u w:val="single"/>
          </w:rPr>
          <w:t xml:space="preserve">https://doi.org/10.2903/sp.efsa.2019.EN-1587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Phytosanitary Procedures. PM 3/90 (1) </w:t>
      </w:r>
      <w:r>
        <w:rPr>
          <w:rFonts w:ascii="Calibri" w:hAnsi="Calibri" w:eastAsia="Calibri" w:cs="Calibri"/>
          <w:i/>
          <w:iCs/>
          <w:color w:val="000000"/>
          <w:sz w:val="22"/>
          <w:szCs w:val="22"/>
        </w:rPr>
        <w:t xml:space="preserve">Inspection of citrus fruits consignments.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383-400. </w:t>
      </w:r>
      <w:hyperlink r:id="rId525568057fb323aaf" w:history="1">
        <w:r>
          <w:rPr>
            <w:rFonts w:ascii="Calibri" w:hAnsi="Calibri" w:eastAsia="Calibri" w:cs="Calibri"/>
            <w:color w:val="0000CC"/>
            <w:sz w:val="22"/>
            <w:szCs w:val="22"/>
            <w:u w:val="single"/>
          </w:rPr>
          <w:t xml:space="preserve">https://doi.org/10.1111/epp.12684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(2023a)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EPPO datasheets on pests recommended for regulation. </w:t>
      </w:r>
      <w:hyperlink r:id="rId766068057fb323b22" w:history="1">
        <w:r>
          <w:rPr>
            <w:rFonts w:ascii="Calibri" w:hAnsi="Calibri" w:eastAsia="Calibri" w:cs="Calibri"/>
            <w:color w:val="0000CC"/>
            <w:sz w:val="22"/>
            <w:szCs w:val="22"/>
            <w:u w:val="single"/>
          </w:rPr>
          <w:t xml:space="preserve">https://gd.eppo.int/taxon/XANTCI/datasheet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Standard. Diagnostics. PM 7/44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citri pv. aurantifolii.</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62-96. </w:t>
      </w:r>
      <w:hyperlink r:id="rId922068057fb323bf6" w:history="1">
        <w:r>
          <w:rPr>
            <w:rFonts w:ascii="Calibri" w:hAnsi="Calibri" w:eastAsia="Calibri" w:cs="Calibri"/>
            <w:color w:val="0000CC"/>
            <w:sz w:val="22"/>
            <w:szCs w:val="22"/>
            <w:u w:val="single"/>
          </w:rPr>
          <w:t xml:space="preserve">https://doi.org/10.1111/epp.12913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w:t>
      </w:r>
    </w:p>
    <w:p>
      <w:pPr>
        <w:widowControl w:val="on"/>
        <w:pBdr/>
        <w:spacing w:before="220" w:after="220" w:line="240" w:lineRule="auto"/>
        <w:ind w:left="0" w:right="0"/>
        <w:jc w:val="left"/>
      </w:pPr>
      <w:r>
        <w:rPr>
          <w:rFonts w:ascii="Calibri" w:hAnsi="Calibri" w:eastAsia="Calibri" w:cs="Calibri"/>
          <w:color w:val="000000"/>
          <w:sz w:val="22"/>
          <w:szCs w:val="22"/>
        </w:rPr>
        <w:t xml:space="preserve">Escalon A, Javegny S, Vernière C, Noel LD, Vital K, Poussier S, Hajri A, Boureau T, Pruvost O, Arlat M &amp; Gagnevin L (2013) Variations in type III effector repertoires, pathological phenotypes and host range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483-496. </w:t>
      </w:r>
      <w:hyperlink r:id="rId327968057fb323cff" w:history="1">
        <w:r>
          <w:rPr>
            <w:rFonts w:ascii="Calibri" w:hAnsi="Calibri" w:eastAsia="Calibri" w:cs="Calibri"/>
            <w:color w:val="0000CC"/>
            <w:sz w:val="22"/>
            <w:szCs w:val="22"/>
            <w:u w:val="single"/>
          </w:rPr>
          <w:t xml:space="preserve">https://doi.org/10.1111/mpp.12019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Fawcett HS &amp; Bitancourt AA (1949) Observations about citrus diseases in the Argentine Republic. </w:t>
      </w:r>
      <w:r>
        <w:rPr>
          <w:rFonts w:ascii="Calibri" w:hAnsi="Calibri" w:eastAsia="Calibri" w:cs="Calibri"/>
          <w:i/>
          <w:iCs/>
          <w:color w:val="000000"/>
          <w:sz w:val="22"/>
          <w:szCs w:val="22"/>
        </w:rPr>
        <w:t xml:space="preserve">Revista Sudamericana de Botánica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29-45.</w:t>
      </w:r>
    </w:p>
    <w:p>
      <w:pPr>
        <w:widowControl w:val="on"/>
        <w:pBdr/>
        <w:spacing w:before="220" w:after="220" w:line="240" w:lineRule="auto"/>
        <w:ind w:left="0" w:right="0"/>
        <w:jc w:val="left"/>
      </w:pPr>
      <w:r>
        <w:rPr>
          <w:rFonts w:ascii="Calibri" w:hAnsi="Calibri" w:eastAsia="Calibri" w:cs="Calibri"/>
          <w:color w:val="000000"/>
          <w:sz w:val="22"/>
          <w:szCs w:val="22"/>
        </w:rPr>
        <w:t xml:space="preserve">Ference CM, Gochez AM, Behlau F, Wang N, Graham JH &amp; Jones JB (2018) Recent advances in the understanding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pathogenesis and citrus canker disease management.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1302-1318. </w:t>
      </w:r>
      <w:hyperlink r:id="rId931468057fb323e1e" w:history="1">
        <w:r>
          <w:rPr>
            <w:rFonts w:ascii="Calibri" w:hAnsi="Calibri" w:eastAsia="Calibri" w:cs="Calibri"/>
            <w:color w:val="0000CC"/>
            <w:sz w:val="22"/>
            <w:szCs w:val="22"/>
            <w:u w:val="single"/>
          </w:rPr>
          <w:t xml:space="preserve">https://doi.org/10.1111/mpp.12638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Patané JSL, Varani AM, Felestrino ÉB, Caneschi WL, Sanchez AB, Cordeiro IF, Lemes CGdC, Assis RAB, Garcia CCM, Belasque J Jr, Martins J Jr, Facincani AP, Ferreira RM, Jaciani FJ, Almeida NFd, Ferro JA, Moreira LM &amp; Setubal JC (2019a) Analyses of seven new genomes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strains, causative agents of citrus canker B and C, Show a reduced repertoire of pathogenicity-related genes. </w:t>
      </w:r>
      <w:r>
        <w:rPr>
          <w:rFonts w:ascii="Calibri" w:hAnsi="Calibri" w:eastAsia="Calibri" w:cs="Calibri"/>
          <w:i/>
          <w:iCs/>
          <w:color w:val="000000"/>
          <w:sz w:val="22"/>
          <w:szCs w:val="22"/>
        </w:rPr>
        <w:t xml:space="preserve">Frontiers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2361. </w:t>
      </w:r>
      <w:hyperlink r:id="rId165068057fb323ed4" w:history="1">
        <w:r>
          <w:rPr>
            <w:rFonts w:ascii="Calibri" w:hAnsi="Calibri" w:eastAsia="Calibri" w:cs="Calibri"/>
            <w:color w:val="0000CC"/>
            <w:sz w:val="22"/>
            <w:szCs w:val="22"/>
            <w:u w:val="single"/>
          </w:rPr>
          <w:t xml:space="preserve">https://doi.org/10.3389/fmicb.2019.02361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Fonseca NP, Felestrino ÉB, Caneschi WL, Sanchez AB, Cordeiro IF, Lemes CGC, Assis RAB, Carvalho FMS, Ferro JA, Varani AM, Belasque J, Setubal JC, Telles GP, Aguena DS, Almeida NF &amp; Moreira LM (2019b) Detection and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pathotypes associated with citrus diseases using comparative genomics and multiplex PCR.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e7676. </w:t>
      </w:r>
      <w:hyperlink r:id="rId933368057fb323f6a" w:history="1">
        <w:r>
          <w:rPr>
            <w:rFonts w:ascii="Calibri" w:hAnsi="Calibri" w:eastAsia="Calibri" w:cs="Calibri"/>
            <w:color w:val="0000CC"/>
            <w:sz w:val="22"/>
            <w:szCs w:val="22"/>
            <w:u w:val="single"/>
          </w:rPr>
          <w:t xml:space="preserve">http://doi.org/10.7717/peerj.7676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Gabriel DW, Kingsley MT, Hunter JE &amp; Gottwald T (1989) Reinstatement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(ex Hasse)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(ex Smith) to species and reclassification of all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strains.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14-22. </w:t>
      </w:r>
      <w:hyperlink r:id="rId128368057fb32404b" w:history="1">
        <w:r>
          <w:rPr>
            <w:rFonts w:ascii="Calibri" w:hAnsi="Calibri" w:eastAsia="Calibri" w:cs="Calibri"/>
            <w:color w:val="0000CC"/>
            <w:sz w:val="22"/>
            <w:szCs w:val="22"/>
            <w:u w:val="single"/>
          </w:rPr>
          <w:t xml:space="preserve">https://doi.org/10.1099/00207713-39-1-14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(2014) Host pathogen interaction, and copper resistance in Xanthomonads associated with citrus canker. University of Florida, thesis, 161 pp. </w:t>
      </w:r>
      <w:hyperlink r:id="rId250468057fb324082" w:history="1">
        <w:r>
          <w:rPr>
            <w:rFonts w:ascii="Calibri" w:hAnsi="Calibri" w:eastAsia="Calibri" w:cs="Calibri"/>
            <w:color w:val="0000CC"/>
            <w:sz w:val="22"/>
            <w:szCs w:val="22"/>
            <w:u w:val="single"/>
          </w:rPr>
          <w:t xml:space="preserve">https://ufdc.ufl.edu/ufe0046962/00001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 Rinsdahl-Canavosio M &amp; Canteros B (2008) Pathogenicity of strains of the C group and B group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in Duncan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and Key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11th International Citrus Congress</w:t>
      </w:r>
      <w:r>
        <w:rPr>
          <w:rFonts w:ascii="Calibri" w:hAnsi="Calibri" w:eastAsia="Calibri" w:cs="Calibri"/>
          <w:color w:val="000000"/>
          <w:sz w:val="22"/>
          <w:szCs w:val="22"/>
        </w:rPr>
        <w:t xml:space="preserve"> (Deng, X., ed), p. 3. Wuhan: International Society of Citriculture.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Gochez AM, Minsavage GV, Potnis N, Canteros BI, Stall RE &amp; Jones JB (2015) A functional XopAG homologue in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strain C limits host range.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1207-1214. </w:t>
      </w:r>
      <w:hyperlink r:id="rId610268057fb3241cf" w:history="1">
        <w:r>
          <w:rPr>
            <w:rFonts w:ascii="Calibri" w:hAnsi="Calibri" w:eastAsia="Calibri" w:cs="Calibri"/>
            <w:color w:val="0000CC"/>
            <w:sz w:val="22"/>
            <w:szCs w:val="22"/>
            <w:u w:val="single"/>
          </w:rPr>
          <w:t xml:space="preserve">https://doi.org/10.1111/ppa.12361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Gochez AM, Shantharaj D, Potnis N, Zhou X, Minsavage GV, White FF, Wang N, Hurlbert JC &amp; Jones JB (2017) Molecular characterization of XopAG effector AvrGf2 from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in grapefruit.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405-419. </w:t>
      </w:r>
      <w:hyperlink r:id="rId888568057fb324280" w:history="1">
        <w:r>
          <w:rPr>
            <w:rFonts w:ascii="Calibri" w:hAnsi="Calibri" w:eastAsia="Calibri" w:cs="Calibri"/>
            <w:color w:val="0000CC"/>
            <w:sz w:val="22"/>
            <w:szCs w:val="22"/>
            <w:u w:val="single"/>
          </w:rPr>
          <w:t xml:space="preserve">https://doi.org/10.1111/mpp.12408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Golmohammadi M, Cubero J, Penalver J, Quesada JM, Lopez MM &amp; Llop P (2007) Diagnosis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causal agent of citrus canker, in commercial fruits by isolation and PCR-based methods.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2309-2315. </w:t>
      </w:r>
      <w:hyperlink r:id="rId838368057fb32432e" w:history="1">
        <w:r>
          <w:rPr>
            <w:rFonts w:ascii="Calibri" w:hAnsi="Calibri" w:eastAsia="Calibri" w:cs="Calibri"/>
            <w:color w:val="0000CC"/>
            <w:sz w:val="22"/>
            <w:szCs w:val="22"/>
            <w:u w:val="single"/>
          </w:rPr>
          <w:t xml:space="preserve">https://doi.org/10.1111/j.1365-2672.2007.03484.x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Plant diseases of international importance. 7. Citrus canker. In: Kumar J, Chaube HS, Sing US, Mukhopadhyay AN, eds. </w:t>
      </w:r>
      <w:r>
        <w:rPr>
          <w:rFonts w:ascii="Calibri" w:hAnsi="Calibri" w:eastAsia="Calibri" w:cs="Calibri"/>
          <w:i/>
          <w:iCs/>
          <w:color w:val="000000"/>
          <w:sz w:val="22"/>
          <w:szCs w:val="22"/>
        </w:rPr>
        <w:t xml:space="preserve">Diseases of fruit crops.</w:t>
      </w:r>
      <w:r>
        <w:rPr>
          <w:rFonts w:ascii="Calibri" w:hAnsi="Calibri" w:eastAsia="Calibri" w:cs="Calibri"/>
          <w:color w:val="000000"/>
          <w:sz w:val="22"/>
          <w:szCs w:val="22"/>
        </w:rPr>
        <w:t xml:space="preserve"> Englewood Cliffs: Prentice Hall Publishers, vol</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170-208.</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Takahashi T &amp; Messina MA (1980) A comparative study of the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isolated from citrus canker in Japan and cancrosis B in Argentina.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Civerolo EL, Garnsey SM, Brlansky RH, Graham JH &amp; Gabriel DW (1988) Dynamics and spatial distribution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group E strains in simulated nursery and new grove situations.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781-787. </w:t>
      </w:r>
      <w:hyperlink r:id="rId571868057fb3244f9" w:history="1">
        <w:r>
          <w:rPr>
            <w:rFonts w:ascii="Calibri" w:hAnsi="Calibri" w:eastAsia="Calibri" w:cs="Calibri"/>
            <w:color w:val="0000CC"/>
            <w:sz w:val="22"/>
            <w:szCs w:val="22"/>
            <w:u w:val="single"/>
          </w:rPr>
          <w:t xml:space="preserve">https://doi.org/10.1094/PD-72-0781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Alvarez AM, Hartung JS &amp; Benedict AA (1991) Diversity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strains associated with epidemics of citrus bacterial spot in Florida citrus nurseries: correlation of detached leaf, monoclonal antibody, and restriction fragment length polymorphism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749-753. </w:t>
      </w:r>
      <w:hyperlink r:id="rId855968057fb3245a9" w:history="1">
        <w:r>
          <w:rPr>
            <w:rFonts w:ascii="Calibri" w:hAnsi="Calibri" w:eastAsia="Calibri" w:cs="Calibri"/>
            <w:color w:val="0000CC"/>
            <w:sz w:val="22"/>
            <w:szCs w:val="22"/>
            <w:u w:val="single"/>
          </w:rPr>
          <w:t xml:space="preserve">https://doi.org/10.1094/Phyto-81-749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Hughes G, Graham JH, Sun X &amp; Riley T (2001) The citrus canker epidemic in Florida: the scientific basis of regulatory eradication policy for an invasive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30-34. </w:t>
      </w:r>
      <w:hyperlink r:id="rId577368057fb32461b" w:history="1">
        <w:r>
          <w:rPr>
            <w:rFonts w:ascii="Calibri" w:hAnsi="Calibri" w:eastAsia="Calibri" w:cs="Calibri"/>
            <w:color w:val="0000CC"/>
            <w:sz w:val="22"/>
            <w:szCs w:val="22"/>
            <w:u w:val="single"/>
          </w:rPr>
          <w:t xml:space="preserve">https://doi.org/10.1094/PHYTO.2001.91.1.30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Graham JH &amp; Schubert TS (2002) Citrus canker: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510468057fb32466c" w:history="1">
        <w:r>
          <w:rPr>
            <w:rFonts w:ascii="Calibri" w:hAnsi="Calibri" w:eastAsia="Calibri" w:cs="Calibri"/>
            <w:color w:val="0000CC"/>
            <w:sz w:val="22"/>
            <w:szCs w:val="22"/>
            <w:u w:val="single"/>
          </w:rPr>
          <w:t xml:space="preserve">https://doi.org/10.1094/PHP-2002-0812-01-RV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&amp; Gottwald TR (1991) Research perspectives on eradication of citrus bacterial diseases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1193-1200. </w:t>
      </w:r>
      <w:hyperlink r:id="rId780468057fb3246f2" w:history="1">
        <w:r>
          <w:rPr>
            <w:rFonts w:ascii="Calibri" w:hAnsi="Calibri" w:eastAsia="Calibri" w:cs="Calibri"/>
            <w:color w:val="0000CC"/>
            <w:sz w:val="22"/>
            <w:szCs w:val="22"/>
            <w:u w:val="single"/>
          </w:rPr>
          <w:t xml:space="preserve">https://doi.org/10.1094/PD-75-1193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Riley TD, Cubero J &amp; Drouillard DL (2000)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Xcc</w:t>
      </w:r>
      <w:r>
        <w:rPr>
          <w:rFonts w:ascii="Calibri" w:hAnsi="Calibri" w:eastAsia="Calibri" w:cs="Calibri"/>
          <w:color w:val="000000"/>
          <w:sz w:val="22"/>
          <w:szCs w:val="22"/>
        </w:rPr>
        <w:t xml:space="preserve">) on various surfaces and chemical control of Asiatic citrus canker (ACC). In: Gottwald TR, Levy L, Dixon W, eds. </w:t>
      </w:r>
      <w:r>
        <w:rPr>
          <w:rFonts w:ascii="Calibri" w:hAnsi="Calibri" w:eastAsia="Calibri" w:cs="Calibri"/>
          <w:i/>
          <w:iCs/>
          <w:color w:val="000000"/>
          <w:sz w:val="22"/>
          <w:szCs w:val="22"/>
        </w:rPr>
        <w:t xml:space="preserve">Proceedings of the 1st International Citrus Canker Research Workshop</w:t>
      </w:r>
      <w:r>
        <w:rPr>
          <w:rFonts w:ascii="Calibri" w:hAnsi="Calibri" w:eastAsia="Calibri" w:cs="Calibri"/>
          <w:color w:val="000000"/>
          <w:sz w:val="22"/>
          <w:szCs w:val="22"/>
        </w:rPr>
        <w:t xml:space="preserve">. Fort Pierce (US).</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JH, Gottwald TR, Cubero J &amp; Achor DS (2004)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factors affecting successful eradication of citrus canker.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1-15. </w:t>
      </w:r>
      <w:hyperlink r:id="rId844968057fb32483f" w:history="1">
        <w:r>
          <w:rPr>
            <w:rFonts w:ascii="Calibri" w:hAnsi="Calibri" w:eastAsia="Calibri" w:cs="Calibri"/>
            <w:color w:val="0000CC"/>
            <w:sz w:val="22"/>
            <w:szCs w:val="22"/>
            <w:u w:val="single"/>
          </w:rPr>
          <w:t xml:space="preserve">https://doi.org/10.1046/j.1364-3703.2004.00197.x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Hunault G, Lardeux F, Lemaire C, Manceau C, Boureau T &amp; Poussier S (2009) A ‘repertoire for repertoire’ hypothesis: repertoires of type three effectors are candidate determinants of host specificity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e6632. </w:t>
      </w:r>
      <w:hyperlink r:id="rId398868057fb3248d0" w:history="1">
        <w:r>
          <w:rPr>
            <w:rFonts w:ascii="Calibri" w:hAnsi="Calibri" w:eastAsia="Calibri" w:cs="Calibri"/>
            <w:color w:val="0000CC"/>
            <w:sz w:val="22"/>
            <w:szCs w:val="22"/>
            <w:u w:val="single"/>
          </w:rPr>
          <w:t xml:space="preserve">https://doi.org/10.1371/journal.pone.0006632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Hasse CH (1915) </w:t>
      </w:r>
      <w:r>
        <w:rPr>
          <w:rFonts w:ascii="Calibri" w:hAnsi="Calibri" w:eastAsia="Calibri" w:cs="Calibri"/>
          <w:i/>
          <w:iCs/>
          <w:color w:val="000000"/>
          <w:sz w:val="22"/>
          <w:szCs w:val="22"/>
        </w:rPr>
        <w:t xml:space="preserve">Pseudomonas citri</w:t>
      </w:r>
      <w:r>
        <w:rPr>
          <w:rFonts w:ascii="Calibri" w:hAnsi="Calibri" w:eastAsia="Calibri" w:cs="Calibri"/>
          <w:color w:val="000000"/>
          <w:sz w:val="22"/>
          <w:szCs w:val="22"/>
        </w:rPr>
        <w:t xml:space="preserve">, the cause of citrus canker.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97–100.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6: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hyperlink r:id="rId308868057fb3249c4" w:history="1">
        <w:r>
          <w:rPr>
            <w:rFonts w:ascii="Calibri" w:hAnsi="Calibri" w:eastAsia="Calibri" w:cs="Calibri"/>
            <w:color w:val="0000CC"/>
            <w:sz w:val="22"/>
            <w:szCs w:val="22"/>
            <w:u w:val="single"/>
          </w:rPr>
          <w:t xml:space="preserve">https://www.ippc.int/en/publications/dp-6-2014-xanthomonas-citri-subsp-citri/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Jaciani FJ (2012) Genetic diversity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molecular and pathogenic characterization of Xanthomonas fuscans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and detection of </w:t>
      </w:r>
      <w:r>
        <w:rPr>
          <w:rFonts w:ascii="Calibri" w:hAnsi="Calibri" w:eastAsia="Calibri" w:cs="Calibri"/>
          <w:i/>
          <w:iCs/>
          <w:color w:val="000000"/>
          <w:sz w:val="22"/>
          <w:szCs w:val="22"/>
        </w:rPr>
        <w:t xml:space="preserve">Xanthomonas alfalfae </w:t>
      </w:r>
      <w:r>
        <w:rPr>
          <w:rFonts w:ascii="Calibri" w:hAnsi="Calibri" w:eastAsia="Calibri" w:cs="Calibri"/>
          <w:color w:val="000000"/>
          <w:sz w:val="22"/>
          <w:szCs w:val="22"/>
        </w:rPr>
        <w:t xml:space="preserve">in 'Swingle' citrumelo </w:t>
      </w:r>
      <w:r>
        <w:rPr>
          <w:rFonts w:ascii="Calibri" w:hAnsi="Calibri" w:eastAsia="Calibri" w:cs="Calibri"/>
          <w:i/>
          <w:iCs/>
          <w:color w:val="000000"/>
          <w:sz w:val="22"/>
          <w:szCs w:val="22"/>
        </w:rPr>
        <w:t xml:space="preserve">(Citrus paradisi </w:t>
      </w:r>
      <w:r>
        <w:rPr>
          <w:rFonts w:ascii="Calibri" w:hAnsi="Calibri" w:eastAsia="Calibri" w:cs="Calibri"/>
          <w:color w:val="000000"/>
          <w:sz w:val="22"/>
          <w:szCs w:val="22"/>
        </w:rPr>
        <w:t xml:space="preserve">Macf. x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L. Raf.) in Brazil. PhD thesis, Universidade Estadual Paulista “Júlio De Mesquita Filho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Jaboticabal, Brazil, 169 pp.</w:t>
      </w:r>
    </w:p>
    <w:p>
      <w:pPr>
        <w:widowControl w:val="on"/>
        <w:pBdr/>
        <w:spacing w:before="220" w:after="220" w:line="240" w:lineRule="auto"/>
        <w:ind w:left="0" w:right="0"/>
        <w:jc w:val="left"/>
      </w:pPr>
      <w:r>
        <w:rPr>
          <w:rFonts w:ascii="Calibri" w:hAnsi="Calibri" w:eastAsia="Calibri" w:cs="Calibri"/>
          <w:color w:val="000000"/>
          <w:sz w:val="22"/>
          <w:szCs w:val="22"/>
        </w:rPr>
        <w:t xml:space="preserve">Jaciani FJ, Destefano SAL, Neto JR &amp; Belasque Jr. J (2009) Detection of a new bacterium related to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Swingle citrumelo </w:t>
      </w: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 </w:t>
      </w:r>
      <w:hyperlink r:id="rId279768057fb324b96" w:history="1">
        <w:r>
          <w:rPr>
            <w:rFonts w:ascii="Calibri" w:hAnsi="Calibri" w:eastAsia="Calibri" w:cs="Calibri"/>
            <w:color w:val="0000CC"/>
            <w:sz w:val="22"/>
            <w:szCs w:val="22"/>
            <w:u w:val="single"/>
          </w:rPr>
          <w:t xml:space="preserve">https://doi.org/10.1094/PDIS-93-10-1074B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Kapp JF (2011) Host range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(isolate FDC 1609) pathogenic to 'Swingle' citrumelo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paradisi x Poncirus trifoliata</w:t>
      </w:r>
      <w:r>
        <w:rPr>
          <w:rFonts w:ascii="Calibri" w:hAnsi="Calibri" w:eastAsia="Calibri" w:cs="Calibri"/>
          <w:color w:val="000000"/>
          <w:sz w:val="22"/>
          <w:szCs w:val="22"/>
        </w:rPr>
        <w:t xml:space="preserve">). MSc thesis, Citriculture Defense Fund, Araraquara, S</w:t>
      </w:r>
      <w:r>
        <w:rPr>
          <w:rFonts w:ascii="Calibri" w:hAnsi="Calibri" w:eastAsia="Calibri" w:cs="Calibri"/>
          <w:color w:val="000000"/>
          <w:sz w:val="22"/>
          <w:szCs w:val="22"/>
        </w:rPr>
        <w:t xml:space="preserve">ã</w:t>
      </w:r>
      <w:r>
        <w:rPr>
          <w:rFonts w:ascii="Calibri" w:hAnsi="Calibri" w:eastAsia="Calibri" w:cs="Calibri"/>
          <w:color w:val="000000"/>
          <w:sz w:val="22"/>
          <w:szCs w:val="22"/>
        </w:rPr>
        <w:t xml:space="preserve">o Paulo, Brazil, 19 pp.</w:t>
      </w:r>
    </w:p>
    <w:p>
      <w:pPr>
        <w:widowControl w:val="on"/>
        <w:pBdr/>
        <w:spacing w:before="220" w:after="220" w:line="240" w:lineRule="auto"/>
        <w:ind w:left="0" w:right="0"/>
        <w:jc w:val="left"/>
      </w:pPr>
      <w:r>
        <w:rPr>
          <w:rFonts w:ascii="Calibri" w:hAnsi="Calibri" w:eastAsia="Calibri" w:cs="Calibri"/>
          <w:color w:val="000000"/>
          <w:sz w:val="22"/>
          <w:szCs w:val="22"/>
        </w:rPr>
        <w:t xml:space="preserve">Leite RP Jr &amp; Mohan SK (1990) Integrated management of the citrus bacterial canker disease caused by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in the State of Paraná,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3-7. </w:t>
      </w:r>
      <w:hyperlink r:id="rId827068057fb324d23" w:history="1">
        <w:r>
          <w:rPr>
            <w:rFonts w:ascii="Calibri" w:hAnsi="Calibri" w:eastAsia="Calibri" w:cs="Calibri"/>
            <w:color w:val="0000CC"/>
            <w:sz w:val="22"/>
            <w:szCs w:val="22"/>
            <w:u w:val="single"/>
          </w:rPr>
          <w:t xml:space="preserve">https://doi.org/10.1016/0261-2194(90)90038-9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W, Song Q, Brlansky RH &amp; Hartung JS (2007) Genetic diversity of citrus bacterial canker pathogens preserved in herbarium specimens.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18427-18432. </w:t>
      </w:r>
      <w:hyperlink r:id="rId195868057fb324db5" w:history="1">
        <w:r>
          <w:rPr>
            <w:rFonts w:ascii="Calibri" w:hAnsi="Calibri" w:eastAsia="Calibri" w:cs="Calibri"/>
            <w:color w:val="0000CC"/>
            <w:sz w:val="22"/>
            <w:szCs w:val="22"/>
            <w:u w:val="single"/>
          </w:rPr>
          <w:t xml:space="preserve">https://doi.org/10.1073/pnas.0705590104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Licciardello G, Caruso P, Bella P, Boyer C, Smith MW, Pruvost O, Robene I, Cubero J &amp; Catara V (2022) Pathotyping citrus ornamental relatives with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refines our understanding of their susceptibility to these pathogens.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986. </w:t>
      </w:r>
      <w:hyperlink r:id="rId201068057fb324e99" w:history="1">
        <w:r>
          <w:rPr>
            <w:rFonts w:ascii="Calibri" w:hAnsi="Calibri" w:eastAsia="Calibri" w:cs="Calibri"/>
            <w:color w:val="0000CC"/>
            <w:sz w:val="22"/>
            <w:szCs w:val="22"/>
            <w:u w:val="single"/>
          </w:rPr>
          <w:t xml:space="preserve">https://doi.org/10.3390/microorganisms10050986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Nogueira EMC &amp; Palazzo DA (1984a) Varietal behaviour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relation to type C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Congresso Paulsita Fitopatologia, 6., 1984, Botucatu. Summaries</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VA Jr, Yamashiro T, Nogueira EMC &amp; Feichtenberger E (1984b) Distribuição do tipo C de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no Estado de São Paulo.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11.</w:t>
      </w:r>
    </w:p>
    <w:p>
      <w:pPr>
        <w:widowControl w:val="on"/>
        <w:pBdr/>
        <w:spacing w:before="220" w:after="220" w:line="240" w:lineRule="auto"/>
        <w:ind w:left="0" w:right="0"/>
        <w:jc w:val="left"/>
      </w:pPr>
      <w:r>
        <w:rPr>
          <w:rFonts w:ascii="Calibri" w:hAnsi="Calibri" w:eastAsia="Calibri" w:cs="Calibri"/>
          <w:color w:val="000000"/>
          <w:sz w:val="22"/>
          <w:szCs w:val="22"/>
        </w:rPr>
        <w:t xml:space="preserve">Malavolta Jr VA, Carvalho MLV, Rodrigues Neto J, Rosseti V, Nogueira EMC &amp; Palazzo DA (1987) Reaction of different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relatives to bacterial cancrosis C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(Hasse) Dye]. </w:t>
      </w:r>
      <w:r>
        <w:rPr>
          <w:rFonts w:ascii="Calibri" w:hAnsi="Calibri" w:eastAsia="Calibri" w:cs="Calibri"/>
          <w:i/>
          <w:iCs/>
          <w:color w:val="000000"/>
          <w:sz w:val="22"/>
          <w:szCs w:val="22"/>
        </w:rPr>
        <w:t xml:space="preserve">Proceedings Congress of the International Society of Citriculture</w:t>
      </w:r>
      <w:r>
        <w:rPr>
          <w:rFonts w:ascii="Calibri" w:hAnsi="Calibri" w:eastAsia="Calibri" w:cs="Calibri"/>
          <w:color w:val="000000"/>
          <w:sz w:val="22"/>
          <w:szCs w:val="22"/>
        </w:rPr>
        <w:t xml:space="preserve">, v. São Paulo, Brazil, 363–364.</w:t>
      </w:r>
    </w:p>
    <w:p>
      <w:pPr>
        <w:widowControl w:val="on"/>
        <w:pBdr/>
        <w:spacing w:before="220" w:after="220" w:line="240" w:lineRule="auto"/>
        <w:ind w:left="0" w:right="0"/>
        <w:jc w:val="left"/>
      </w:pPr>
      <w:r>
        <w:rPr>
          <w:rFonts w:ascii="Calibri" w:hAnsi="Calibri" w:eastAsia="Calibri" w:cs="Calibri"/>
          <w:color w:val="000000"/>
          <w:sz w:val="22"/>
          <w:szCs w:val="22"/>
        </w:rPr>
        <w:t xml:space="preserve">Moreira LM, Almeida NF Jr, Potnis N, Digiampietri LA, Adi SS, Bortolossi JC, da Silva AC, da Silva AM, deMoraes FE, de Oliveira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Novel insights into the genomic basis of citrus canker based on the genome sequences of two strains of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238. </w:t>
      </w:r>
      <w:hyperlink r:id="rId324568057fb32516b" w:history="1">
        <w:r>
          <w:rPr>
            <w:rFonts w:ascii="Calibri" w:hAnsi="Calibri" w:eastAsia="Calibri" w:cs="Calibri"/>
            <w:color w:val="0000CC"/>
            <w:sz w:val="22"/>
            <w:szCs w:val="22"/>
            <w:u w:val="single"/>
          </w:rPr>
          <w:t xml:space="preserve">https://doi.org/10.1186/1471-2164-11-238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Namekata T (1971) Estudos comparativos entre Xanthomonas citri (Hasse) Dow., Agente causal do ‘cancro citrico’</w:t>
      </w:r>
      <w:r>
        <w:rPr>
          <w:rFonts w:ascii="Calibri" w:hAnsi="Calibri" w:eastAsia="Calibri" w:cs="Calibri"/>
          <w:i/>
          <w:iCs/>
          <w:color w:val="000000"/>
          <w:sz w:val="22"/>
          <w:szCs w:val="22"/>
        </w:rPr>
        <w:t xml:space="preserve"> e Xanthomonas citri (Hasse) Dow., N.F. Sp. aurantifolia, </w:t>
      </w:r>
      <w:r>
        <w:rPr>
          <w:rFonts w:ascii="Calibri" w:hAnsi="Calibri" w:eastAsia="Calibri" w:cs="Calibri"/>
          <w:color w:val="000000"/>
          <w:sz w:val="22"/>
          <w:szCs w:val="22"/>
        </w:rPr>
        <w:t xml:space="preserve">agente causal da ‘cancrose do limoeiro galego’ (Tese (Doutorado). Universidade de São Paulo, Piracicaba.</w:t>
      </w:r>
    </w:p>
    <w:p>
      <w:pPr>
        <w:widowControl w:val="on"/>
        <w:pBdr/>
        <w:spacing w:before="220" w:after="220" w:line="240" w:lineRule="auto"/>
        <w:ind w:left="0" w:right="0"/>
        <w:jc w:val="left"/>
      </w:pPr>
      <w:r>
        <w:rPr>
          <w:rFonts w:ascii="Calibri" w:hAnsi="Calibri" w:eastAsia="Calibri" w:cs="Calibri"/>
          <w:color w:val="000000"/>
          <w:sz w:val="22"/>
          <w:szCs w:val="22"/>
        </w:rPr>
        <w:t xml:space="preserve">Namekata T &amp; Oliveira AD (1972) Comparative serological studies between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and a bacterium causing canker on Mexican lime. In: </w:t>
      </w:r>
      <w:r>
        <w:rPr>
          <w:rFonts w:ascii="Calibri" w:hAnsi="Calibri" w:eastAsia="Calibri" w:cs="Calibri"/>
          <w:i/>
          <w:iCs/>
          <w:color w:val="000000"/>
          <w:sz w:val="22"/>
          <w:szCs w:val="22"/>
        </w:rPr>
        <w:t xml:space="preserve">Proceedings of the Third International Conference on Plant Pathogenic Bacteria</w:t>
      </w:r>
      <w:r>
        <w:rPr>
          <w:rFonts w:ascii="Calibri" w:hAnsi="Calibri" w:eastAsia="Calibri" w:cs="Calibri"/>
          <w:color w:val="000000"/>
          <w:sz w:val="22"/>
          <w:szCs w:val="22"/>
        </w:rPr>
        <w:t xml:space="preserve"> (Maas Geesteranus, H.P. eds), pp. 151–2. Wageningen, the Netherlands: Centre of the Agricultural Publication and Documentation.</w:t>
      </w:r>
    </w:p>
    <w:p>
      <w:pPr>
        <w:widowControl w:val="on"/>
        <w:pBdr/>
        <w:spacing w:before="220" w:after="220" w:line="240" w:lineRule="auto"/>
        <w:ind w:left="0" w:right="0"/>
        <w:jc w:val="left"/>
      </w:pPr>
      <w:r>
        <w:rPr>
          <w:rFonts w:ascii="Calibri" w:hAnsi="Calibri" w:eastAsia="Calibri" w:cs="Calibri"/>
          <w:color w:val="000000"/>
          <w:sz w:val="22"/>
          <w:szCs w:val="22"/>
        </w:rPr>
        <w:t xml:space="preserve">Naqvi SAH, Wang J, Malik MT, Umar U-U-D, Ateeq-Ur-Rehman, Hasnain A, Sohail MA, Shakeel MT, Nauman M, Hafeez-ur-Rehman,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Citrus Canker—distribution, taxonomy, epidemiology, disease cycle, pathogen biology, detection, and management: a critical review and future research agenda.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1075. </w:t>
      </w:r>
      <w:hyperlink r:id="rId929668057fb3252a2" w:history="1">
        <w:r>
          <w:rPr>
            <w:rFonts w:ascii="Calibri" w:hAnsi="Calibri" w:eastAsia="Calibri" w:cs="Calibri"/>
            <w:color w:val="0000CC"/>
            <w:sz w:val="22"/>
            <w:szCs w:val="22"/>
            <w:u w:val="single"/>
          </w:rPr>
          <w:t xml:space="preserve">https://doi.org/10.3390/agronomy12051075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Nociti, LAS, Camargo M., Rodrigues Neto, J., Francischini, FJB &amp; Belasque Jr J (2006) Aggressiveness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type C in 'Galego' acid lime. </w:t>
      </w:r>
      <w:r>
        <w:rPr>
          <w:rFonts w:ascii="Calibri" w:hAnsi="Calibri" w:eastAsia="Calibri" w:cs="Calibri"/>
          <w:i/>
          <w:iCs/>
          <w:color w:val="000000"/>
          <w:sz w:val="22"/>
          <w:szCs w:val="22"/>
        </w:rPr>
        <w:t xml:space="preserve">Brazilian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140-146. </w:t>
      </w:r>
      <w:hyperlink r:id="rId427668057fb325367" w:history="1">
        <w:r>
          <w:rPr>
            <w:rFonts w:ascii="Calibri" w:hAnsi="Calibri" w:eastAsia="Calibri" w:cs="Calibri"/>
            <w:color w:val="0000CC"/>
            <w:sz w:val="22"/>
            <w:szCs w:val="22"/>
            <w:u w:val="single"/>
          </w:rPr>
          <w:t xml:space="preserve">https://doi.org/10.1590/S0100-41582006000200003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Palm ME &amp; Civerolo EL (1994) Isolation, pathogenicity, and partial host range of </w:t>
      </w:r>
      <w:r>
        <w:rPr>
          <w:rFonts w:ascii="Calibri" w:hAnsi="Calibri" w:eastAsia="Calibri" w:cs="Calibri"/>
          <w:i/>
          <w:iCs/>
          <w:color w:val="000000"/>
          <w:sz w:val="22"/>
          <w:szCs w:val="22"/>
        </w:rPr>
        <w:t xml:space="preserve">Alternaria limicola</w:t>
      </w:r>
      <w:r>
        <w:rPr>
          <w:rFonts w:ascii="Calibri" w:hAnsi="Calibri" w:eastAsia="Calibri" w:cs="Calibri"/>
          <w:color w:val="000000"/>
          <w:sz w:val="22"/>
          <w:szCs w:val="22"/>
        </w:rPr>
        <w:t xml:space="preserve">, causal agent of </w:t>
      </w:r>
      <w:r>
        <w:rPr>
          <w:rFonts w:ascii="Calibri" w:hAnsi="Calibri" w:eastAsia="Calibri" w:cs="Calibri"/>
          <w:i/>
          <w:iCs/>
          <w:color w:val="000000"/>
          <w:sz w:val="22"/>
          <w:szCs w:val="22"/>
        </w:rPr>
        <w:t xml:space="preserve">mancha foliar de los citricos </w:t>
      </w: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879-883.</w:t>
      </w:r>
    </w:p>
    <w:p>
      <w:pPr>
        <w:widowControl w:val="on"/>
        <w:pBdr/>
        <w:spacing w:before="220" w:after="220" w:line="240" w:lineRule="auto"/>
        <w:ind w:left="0" w:right="0"/>
        <w:jc w:val="left"/>
      </w:pPr>
      <w:r>
        <w:rPr>
          <w:rFonts w:ascii="Calibri" w:hAnsi="Calibri" w:eastAsia="Calibri" w:cs="Calibri"/>
          <w:color w:val="000000"/>
          <w:sz w:val="22"/>
          <w:szCs w:val="22"/>
        </w:rPr>
        <w:t xml:space="preserve">Patané JS, Martins J, Range, LT, Belasque J, Digiampietri LA, Facincani AP, Ferreira RM, Jaciani FJ, Zhang Y &amp; Varani AM (2019) Origin and diversification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pathotypes revealed by inclusive phylogenomic, dating, and biogeographic analyses.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1-23. </w:t>
      </w:r>
      <w:hyperlink r:id="rId938168057fb3254cc" w:history="1">
        <w:r>
          <w:rPr>
            <w:rFonts w:ascii="Calibri" w:hAnsi="Calibri" w:eastAsia="Calibri" w:cs="Calibri"/>
            <w:color w:val="0000CC"/>
            <w:sz w:val="22"/>
            <w:szCs w:val="22"/>
            <w:u w:val="single"/>
          </w:rPr>
          <w:t xml:space="preserve">https://doi.org/10.1186/s12864-019-6007-4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 </w:t>
      </w:r>
      <w:hyperlink r:id="rId333068057fb325563" w:history="1">
        <w:r>
          <w:rPr>
            <w:rFonts w:ascii="Calibri" w:hAnsi="Calibri" w:eastAsia="Calibri" w:cs="Calibri"/>
            <w:color w:val="0000CC"/>
            <w:sz w:val="22"/>
            <w:szCs w:val="22"/>
            <w:u w:val="single"/>
          </w:rPr>
          <w:t xml:space="preserve">https://doi.org/10.1099/00207713-50-2-665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 </w:t>
      </w:r>
      <w:hyperlink r:id="rId460768057fb3255f9" w:history="1">
        <w:r>
          <w:rPr>
            <w:rFonts w:ascii="Calibri" w:hAnsi="Calibri" w:eastAsia="Calibri" w:cs="Calibri"/>
            <w:color w:val="0000CC"/>
            <w:sz w:val="22"/>
            <w:szCs w:val="22"/>
            <w:u w:val="single"/>
          </w:rPr>
          <w:t xml:space="preserve">https://doi.org/10.1094/PHYTO-95-1098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Ragupathy R, Jolley KA, Zamuner C, Jones JB, Redfern J, Behlau F, Ferreira H &amp; Enright MC (2023) Core-genome multilocus sequence typing for epidemiological and evolutionary analyses of phytopathogenic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e0210122. </w:t>
      </w:r>
      <w:hyperlink r:id="rId984468057fb32568b" w:history="1">
        <w:r>
          <w:rPr>
            <w:rFonts w:ascii="Calibri" w:hAnsi="Calibri" w:eastAsia="Calibri" w:cs="Calibri"/>
            <w:color w:val="0000CC"/>
            <w:sz w:val="22"/>
            <w:szCs w:val="22"/>
            <w:u w:val="single"/>
          </w:rPr>
          <w:t xml:space="preserve">https://doi.org/10.1128/aem.02101-22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Robène I, Maillot-Lebon V, Chabirand A, Moreau A, Becker N, Moumène A, Rieux A, Campos P, Gagnevin L, Gaudeul M, Baider C, Chiroleu F &amp; Pruvost O (2020) Development and comparative validation of genomic-driven PCR-based assays to detect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in citrus plants.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296. </w:t>
      </w:r>
      <w:hyperlink r:id="rId120368057fb32573f" w:history="1">
        <w:r>
          <w:rPr>
            <w:rFonts w:ascii="Calibri" w:hAnsi="Calibri" w:eastAsia="Calibri" w:cs="Calibri"/>
            <w:color w:val="0000CC"/>
            <w:sz w:val="22"/>
            <w:szCs w:val="22"/>
            <w:u w:val="single"/>
          </w:rPr>
          <w:t xml:space="preserve">https://doi.org/10.1186/s12866-020-01972-8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w:t>
      </w:r>
      <w:r>
        <w:rPr>
          <w:rFonts w:ascii="Calibri" w:hAnsi="Calibri" w:eastAsia="Calibri" w:cs="Calibri"/>
          <w:color w:val="000000"/>
          <w:sz w:val="22"/>
          <w:szCs w:val="22"/>
        </w:rPr>
        <w:t xml:space="preserve">í</w:t>
      </w:r>
      <w:r>
        <w:rPr>
          <w:rFonts w:ascii="Calibri" w:hAnsi="Calibri" w:eastAsia="Calibri" w:cs="Calibri"/>
          <w:color w:val="000000"/>
          <w:sz w:val="22"/>
          <w:szCs w:val="22"/>
        </w:rPr>
        <w:t xml:space="preserve">guez G, Garza L, Stapleton J &amp; Civerolo E (1985) Citrus bacteriosis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808-810.</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 </w:t>
      </w:r>
      <w:hyperlink r:id="rId352068057fb32584b"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Rossetti V (1977) Citrus canker in Latin America: a review.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918-924.</w:t>
      </w:r>
    </w:p>
    <w:p>
      <w:pPr>
        <w:widowControl w:val="on"/>
        <w:pBdr/>
        <w:spacing w:before="220" w:after="220" w:line="240" w:lineRule="auto"/>
        <w:ind w:left="0" w:right="0"/>
        <w:jc w:val="left"/>
      </w:pPr>
      <w:r>
        <w:rPr>
          <w:rFonts w:ascii="Calibri" w:hAnsi="Calibri" w:eastAsia="Calibri" w:cs="Calibri"/>
          <w:color w:val="000000"/>
          <w:sz w:val="22"/>
          <w:szCs w:val="22"/>
        </w:rPr>
        <w:t xml:space="preserve">Russi P, Menoni M, del Campo R &amp; Peyrou M (2013) Caracterización de cepas de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sbsp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agente causal del cancro cítrico. </w:t>
      </w:r>
      <w:r>
        <w:rPr>
          <w:rFonts w:ascii="Calibri" w:hAnsi="Calibri" w:eastAsia="Calibri" w:cs="Calibri"/>
          <w:i/>
          <w:iCs/>
          <w:color w:val="000000"/>
          <w:sz w:val="22"/>
          <w:szCs w:val="22"/>
        </w:rPr>
        <w:t xml:space="preserve">Agrociencia Uruguay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64-74.</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(ex Hasse 1915) Dye 1978 forms A, B/C/D, and E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(ex Hasse) sp. nov. nom. rev. comb. nov.,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 </w:t>
      </w:r>
      <w:r>
        <w:rPr>
          <w:rFonts w:ascii="Calibri" w:hAnsi="Calibri" w:eastAsia="Calibri" w:cs="Calibri"/>
          <w:color w:val="000000"/>
          <w:sz w:val="22"/>
          <w:szCs w:val="22"/>
        </w:rPr>
        <w:t xml:space="preserve">(ex Gabriel 1989) sp. nov. nom. rev. comb. nov., and </w:t>
      </w:r>
      <w:r>
        <w:rPr>
          <w:rFonts w:ascii="Calibri" w:hAnsi="Calibri" w:eastAsia="Calibri" w:cs="Calibri"/>
          <w:i/>
          <w:iCs/>
          <w:color w:val="000000"/>
          <w:sz w:val="22"/>
          <w:szCs w:val="22"/>
        </w:rPr>
        <w:t xml:space="preserve">X. alfalfae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citrumelo</w:t>
      </w:r>
      <w:r>
        <w:rPr>
          <w:rFonts w:ascii="Calibri" w:hAnsi="Calibri" w:eastAsia="Calibri" w:cs="Calibri"/>
          <w:color w:val="000000"/>
          <w:sz w:val="22"/>
          <w:szCs w:val="22"/>
        </w:rPr>
        <w:t xml:space="preserve"> (ex Riker and Jones) Gabriel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sp. nov. nom. rev. comb.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malvacearum</w:t>
      </w:r>
      <w:r>
        <w:rPr>
          <w:rFonts w:ascii="Calibri" w:hAnsi="Calibri" w:eastAsia="Calibri" w:cs="Calibri"/>
          <w:color w:val="000000"/>
          <w:sz w:val="22"/>
          <w:szCs w:val="22"/>
        </w:rPr>
        <w:t xml:space="preserve"> (ex Smith 1901) Dye 1978 as </w:t>
      </w:r>
      <w:r>
        <w:rPr>
          <w:rFonts w:ascii="Calibri" w:hAnsi="Calibri" w:eastAsia="Calibri" w:cs="Calibri"/>
          <w:i/>
          <w:iCs/>
          <w:color w:val="000000"/>
          <w:sz w:val="22"/>
          <w:szCs w:val="22"/>
        </w:rPr>
        <w:t xml:space="preserve">X. smithii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smithii</w:t>
      </w:r>
      <w:r>
        <w:rPr>
          <w:rFonts w:ascii="Calibri" w:hAnsi="Calibri" w:eastAsia="Calibri" w:cs="Calibri"/>
          <w:color w:val="000000"/>
          <w:sz w:val="22"/>
          <w:szCs w:val="22"/>
        </w:rPr>
        <w:t xml:space="preserve"> nov. comb. nov. nom. nov.;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and Jones, 1935) dye 1978 as </w:t>
      </w:r>
      <w:r>
        <w:rPr>
          <w:rFonts w:ascii="Calibri" w:hAnsi="Calibri" w:eastAsia="Calibri" w:cs="Calibri"/>
          <w:i/>
          <w:iCs/>
          <w:color w:val="000000"/>
          <w:sz w:val="22"/>
          <w:szCs w:val="22"/>
        </w:rPr>
        <w:t xml:space="preserve">X. alfalfae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alfalfae</w:t>
      </w:r>
      <w:r>
        <w:rPr>
          <w:rFonts w:ascii="Calibri" w:hAnsi="Calibri" w:eastAsia="Calibri" w:cs="Calibri"/>
          <w:color w:val="000000"/>
          <w:sz w:val="22"/>
          <w:szCs w:val="22"/>
        </w:rPr>
        <w:t xml:space="preserve"> (ex Riker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1935) sp. nov. nom. rev.; and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(ex Smith, 1987) Dye 1978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494-518. </w:t>
      </w:r>
      <w:hyperlink r:id="rId310168057fb325da9"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 Sechler A, Agarkova I, Stromberg PE, Stromberg VK &amp; Vidaver AK (2006) Emended classification of xanthomonad pathogens on citrus.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690-695. </w:t>
      </w:r>
      <w:hyperlink r:id="rId273568057fb325e27" w:history="1">
        <w:r>
          <w:rPr>
            <w:rFonts w:ascii="Calibri" w:hAnsi="Calibri" w:eastAsia="Calibri" w:cs="Calibri"/>
            <w:color w:val="0000CC"/>
            <w:sz w:val="22"/>
            <w:szCs w:val="22"/>
            <w:u w:val="single"/>
          </w:rPr>
          <w:t xml:space="preserve">https://doi.org/ 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(2007) </w:t>
      </w:r>
      <w:r>
        <w:rPr>
          <w:rFonts w:ascii="Calibri" w:hAnsi="Calibri" w:eastAsia="Calibri" w:cs="Calibri"/>
          <w:i/>
          <w:iCs/>
          <w:color w:val="000000"/>
          <w:sz w:val="22"/>
          <w:szCs w:val="22"/>
        </w:rPr>
        <w:t xml:space="preserve">Xanthomonas alfalfae</w:t>
      </w:r>
      <w:r>
        <w:rPr>
          <w:rFonts w:ascii="Calibri" w:hAnsi="Calibri" w:eastAsia="Calibri" w:cs="Calibri"/>
          <w:color w:val="000000"/>
          <w:sz w:val="22"/>
          <w:szCs w:val="22"/>
        </w:rPr>
        <w:t xml:space="preserve"> sp. nov., nom. rev. and others. In List of New Names and New Combinations Previously Effectively, but not Validly, Published, Validation List no. 115</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893-897. </w:t>
      </w:r>
      <w:hyperlink r:id="rId560468057fb325eb6" w:history="1">
        <w:r>
          <w:rPr>
            <w:rFonts w:ascii="Calibri" w:hAnsi="Calibri" w:eastAsia="Calibri" w:cs="Calibri"/>
            <w:color w:val="0000CC"/>
            <w:sz w:val="22"/>
            <w:szCs w:val="22"/>
            <w:u w:val="single"/>
          </w:rPr>
          <w:t xml:space="preserve">https://doi.org/10.1016/j.syapm.2006.08.001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Schoulties CL, Civerolo EL, Miller JW, Stall RE, Krass CJ, Poe SR &amp; DuCharme EP (1987) Citrus canker 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388–395. </w:t>
      </w:r>
      <w:hyperlink r:id="rId502668057fb325f1c" w:history="1">
        <w:r>
          <w:rPr>
            <w:rFonts w:ascii="Calibri" w:hAnsi="Calibri" w:eastAsia="Calibri" w:cs="Calibri"/>
            <w:color w:val="0000CC"/>
            <w:sz w:val="22"/>
            <w:szCs w:val="22"/>
            <w:u w:val="single"/>
          </w:rPr>
          <w:t xml:space="preserve">https://doi.org/10.1094/PD-71-0388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Rizvi SA, Sun XA, Gottwald TR, Graham JH &amp; Dixon WN (2001) Meeting the challenge of eradicating citrus canker in Florida - Again.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340-356. </w:t>
      </w:r>
      <w:hyperlink r:id="rId694368057fb325f91" w:history="1">
        <w:r>
          <w:rPr>
            <w:rFonts w:ascii="Calibri" w:hAnsi="Calibri" w:eastAsia="Calibri" w:cs="Calibri"/>
            <w:color w:val="0000CC"/>
            <w:sz w:val="22"/>
            <w:szCs w:val="22"/>
            <w:u w:val="single"/>
          </w:rPr>
          <w:t xml:space="preserve">https://doi.org/10.1094/PDIS.2001.85.4.340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Stevens HE (1914) Citrus canker. A preliminary bulletin. </w:t>
      </w:r>
      <w:r>
        <w:rPr>
          <w:rFonts w:ascii="Calibri" w:hAnsi="Calibri" w:eastAsia="Calibri" w:cs="Calibri"/>
          <w:i/>
          <w:iCs/>
          <w:color w:val="000000"/>
          <w:sz w:val="22"/>
          <w:szCs w:val="22"/>
        </w:rPr>
        <w:t xml:space="preserve">Florida Agricultural Experimental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Sun XA, Stall RE, Jones JB, Cubero J, Gottwald TR, Graham JH, Dixon WN, Schubert TS, Chaloux PH, Stromberg VK, Lacy GH &amp; Sutton BD (2004) Detection and characterization of a new strain of citrus canker bacteria from key Mexican lime and Alemow in South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1179-1188. </w:t>
      </w:r>
      <w:hyperlink r:id="rId948268057fb326059" w:history="1">
        <w:r>
          <w:rPr>
            <w:rFonts w:ascii="Calibri" w:hAnsi="Calibri" w:eastAsia="Calibri" w:cs="Calibri"/>
            <w:color w:val="0000CC"/>
            <w:sz w:val="22"/>
            <w:szCs w:val="22"/>
            <w:u w:val="single"/>
          </w:rPr>
          <w:t xml:space="preserve">https://doi.org/10.1094/PDIS.2004.88.11.1179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&amp; Graham JH (2000) Compendium of citrus diseases. APS Press, St. Paul, MN, USA, 92 pp.</w:t>
      </w:r>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Cammarata M &amp; Urso A (2020) Analysis of trade flows of ornamental citrus fruits and other rutaceae in the mediterranean basin and potential for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introduction. </w:t>
      </w:r>
      <w:r>
        <w:rPr>
          <w:rFonts w:ascii="Calibri" w:hAnsi="Calibri" w:eastAsia="Calibri" w:cs="Calibri"/>
          <w:i/>
          <w:iCs/>
          <w:color w:val="000000"/>
          <w:sz w:val="22"/>
          <w:szCs w:val="22"/>
        </w:rPr>
        <w:t xml:space="preserv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171. </w:t>
      </w:r>
      <w:hyperlink r:id="rId127868057fb32610a" w:history="1">
        <w:r>
          <w:rPr>
            <w:rFonts w:ascii="Calibri" w:hAnsi="Calibri" w:eastAsia="Calibri" w:cs="Calibri"/>
            <w:color w:val="0000CC"/>
            <w:sz w:val="22"/>
            <w:szCs w:val="22"/>
            <w:u w:val="single"/>
          </w:rPr>
          <w:t xml:space="preserve">https://doi.org/10.3390/agriculture10050171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Timpanaro G, Urso A, Scuderi A &amp; Foti VT (2021) Risk management options to contrast the introduction of citrus fruit bacterial canker through ornamental Rutaceae in the Mediterranean Basin: An Italian case study. </w:t>
      </w:r>
      <w:r>
        <w:rPr>
          <w:rFonts w:ascii="Calibri" w:hAnsi="Calibri" w:eastAsia="Calibri" w:cs="Calibri"/>
          <w:i/>
          <w:iCs/>
          <w:color w:val="000000"/>
          <w:sz w:val="22"/>
          <w:szCs w:val="22"/>
        </w:rPr>
        <w:t xml:space="preserve">Heliyon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e06137. </w:t>
      </w:r>
      <w:hyperlink r:id="rId886068057fb32617f" w:history="1">
        <w:r>
          <w:rPr>
            <w:rFonts w:ascii="Calibri" w:hAnsi="Calibri" w:eastAsia="Calibri" w:cs="Calibri"/>
            <w:color w:val="0000CC"/>
            <w:sz w:val="22"/>
            <w:szCs w:val="22"/>
            <w:u w:val="single"/>
          </w:rPr>
          <w:t xml:space="preserve">https://doi.org/10.1016/j.heliyon.2021.e06137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 </w:t>
      </w:r>
      <w:hyperlink r:id="rId689668057fb32621b"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Devaux M, Pruvost O, Couteau A &amp; Luisetti J (1991) Studies on the biochemical and physiological variations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the causal agent of citrus bacterial canker disease.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162-170.</w:t>
      </w:r>
    </w:p>
    <w:p>
      <w:pPr>
        <w:widowControl w:val="on"/>
        <w:pBdr/>
        <w:spacing w:before="220" w:after="220" w:line="240" w:lineRule="auto"/>
        <w:ind w:left="0" w:right="0"/>
        <w:jc w:val="left"/>
      </w:pPr>
      <w:r>
        <w:rPr>
          <w:rFonts w:ascii="Calibri" w:hAnsi="Calibri" w:eastAsia="Calibri" w:cs="Calibri"/>
          <w:color w:val="000000"/>
          <w:sz w:val="22"/>
          <w:szCs w:val="22"/>
        </w:rPr>
        <w:t xml:space="preserve">Vernière C, Pruvost O, Civerolo EL, Gambin O, Jacquemoud-Collet JP &amp; Luisetti J (1993) Evaluation of the Biolog substrate utilization system to identify and assess metabolic variation among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243-249. </w:t>
      </w:r>
      <w:hyperlink r:id="rId246068057fb326374" w:history="1">
        <w:r>
          <w:rPr>
            <w:rFonts w:ascii="Calibri" w:hAnsi="Calibri" w:eastAsia="Calibri" w:cs="Calibri"/>
            <w:color w:val="0000CC"/>
            <w:sz w:val="22"/>
            <w:szCs w:val="22"/>
            <w:u w:val="single"/>
          </w:rPr>
          <w:t xml:space="preserve">https://doi.org/10.1128/aem.59.1.243-249.1993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Verni</w:t>
      </w:r>
      <w:r>
        <w:rPr>
          <w:rFonts w:ascii="Calibri" w:hAnsi="Calibri" w:eastAsia="Calibri" w:cs="Calibri"/>
          <w:color w:val="000000"/>
          <w:sz w:val="22"/>
          <w:szCs w:val="22"/>
        </w:rPr>
        <w:t xml:space="preserve">è</w:t>
      </w:r>
      <w:r>
        <w:rPr>
          <w:rFonts w:ascii="Calibri" w:hAnsi="Calibri" w:eastAsia="Calibri" w:cs="Calibri"/>
          <w:color w:val="000000"/>
          <w:sz w:val="22"/>
          <w:szCs w:val="22"/>
        </w:rPr>
        <w:t xml:space="preserve">re C, Hartung JS, Pruvost OP, Civerolo EL, Alvarez AM, Maestri P &amp; Luisetti J (1998) Characterization of phenotypically distinct strains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from Southwest Asia.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477–487. </w:t>
      </w:r>
      <w:hyperlink r:id="rId267568057fb326437" w:history="1">
        <w:r>
          <w:rPr>
            <w:rFonts w:ascii="Calibri" w:hAnsi="Calibri" w:eastAsia="Calibri" w:cs="Calibri"/>
            <w:color w:val="0000CC"/>
            <w:sz w:val="22"/>
            <w:szCs w:val="22"/>
            <w:u w:val="single"/>
          </w:rPr>
          <w:t xml:space="preserve">https://doi.org/10.1023/A:1008676508688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Wolf FA &amp; Massey AB (1914) Citrus canker. </w:t>
      </w:r>
      <w:r>
        <w:rPr>
          <w:rFonts w:ascii="Calibri" w:hAnsi="Calibri" w:eastAsia="Calibri" w:cs="Calibri"/>
          <w:i/>
          <w:iCs/>
          <w:color w:val="000000"/>
          <w:sz w:val="22"/>
          <w:szCs w:val="22"/>
        </w:rPr>
        <w:t xml:space="preserve">Alabama Agricultural Experimental Station of the Alabama Polytechnic Institute</w:t>
      </w:r>
      <w:r>
        <w:rPr>
          <w:rFonts w:ascii="Calibri" w:hAnsi="Calibri" w:eastAsia="Calibri" w:cs="Calibri"/>
          <w:color w:val="000000"/>
          <w:sz w:val="22"/>
          <w:szCs w:val="22"/>
        </w:rPr>
        <w:t xml:space="preserve">. Circular </w:t>
      </w:r>
      <w:r>
        <w:rPr>
          <w:rFonts w:ascii="Calibri" w:hAnsi="Calibri" w:eastAsia="Calibri" w:cs="Calibri"/>
          <w:b/>
          <w:bCs/>
          <w:color w:val="000000"/>
          <w:sz w:val="22"/>
          <w:szCs w:val="22"/>
        </w:rPr>
        <w:t xml:space="preserve">XXVII</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Yasuhara-Bell J, Santillana G, Robène I Pruvost O, Nakhla M &amp; Vessela Mavrodieva V (2023) Genome-informed multiplex conventional PCR for identification and differentiation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subpathotypes, the causal agents of Asiatic citrus canker.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235-245. </w:t>
      </w:r>
      <w:hyperlink r:id="rId298268057fb326568" w:history="1">
        <w:r>
          <w:rPr>
            <w:rFonts w:ascii="Calibri" w:hAnsi="Calibri" w:eastAsia="Calibri" w:cs="Calibri"/>
            <w:color w:val="0000CC"/>
            <w:sz w:val="22"/>
            <w:szCs w:val="22"/>
            <w:u w:val="single"/>
          </w:rPr>
          <w:t xml:space="preserve">https://doi.org/10.1094/PHYTOFR-04-22-0044-FI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JM, Bradbury JF, Davis RE, Dickey RS, Ercolani GL, Hayward AC &amp; Vidaver AK (1991) Nomenclatural revisions of plant pathogenic bacteria and list of names 1980-1988.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211-221.</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 </w:t>
      </w:r>
      <w:hyperlink r:id="rId939368057fb32665a" w:history="1">
        <w:r>
          <w:rPr>
            <w:rFonts w:ascii="Calibri" w:hAnsi="Calibri" w:eastAsia="Calibri" w:cs="Calibri"/>
            <w:color w:val="0000CC"/>
            <w:sz w:val="22"/>
            <w:szCs w:val="22"/>
            <w:u w:val="single"/>
          </w:rPr>
          <w:t xml:space="preserve">https://doi.org/10.1016/j.syapm.2008.06.004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S-M, Lee S-W, Lee S-D, Park E-W &amp; Lee Y-H (2012) Detection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aurantifolii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citrumelo</w:t>
      </w:r>
      <w:r>
        <w:rPr>
          <w:rFonts w:ascii="Calibri" w:hAnsi="Calibri" w:eastAsia="Calibri" w:cs="Calibri"/>
          <w:color w:val="000000"/>
          <w:sz w:val="22"/>
          <w:szCs w:val="22"/>
        </w:rPr>
        <w:t xml:space="preserve"> by Triplex PCR.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Society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129–132. </w:t>
      </w:r>
      <w:hyperlink r:id="rId960868057fb326786" w:history="1">
        <w:r>
          <w:rPr>
            <w:rFonts w:ascii="Calibri" w:hAnsi="Calibri" w:eastAsia="Calibri" w:cs="Calibri"/>
            <w:color w:val="0000CC"/>
            <w:sz w:val="22"/>
            <w:szCs w:val="22"/>
            <w:u w:val="single"/>
          </w:rPr>
          <w:t xml:space="preserve">https://doi.org/10.5423/rpd.2012.18.2.129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 Ramkumar G &amp; Lee YH (2017) Detection of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citri </w:t>
      </w:r>
      <w:r>
        <w:rPr>
          <w:rFonts w:ascii="Calibri" w:hAnsi="Calibri" w:eastAsia="Calibri" w:cs="Calibri"/>
          <w:color w:val="000000"/>
          <w:sz w:val="22"/>
          <w:szCs w:val="22"/>
        </w:rPr>
        <w:t xml:space="preserve">A* , A</w:t>
      </w:r>
      <w:r>
        <w:rPr>
          <w:rFonts w:ascii="Calibri" w:hAnsi="Calibri" w:eastAsia="Calibri" w:cs="Calibri"/>
          <w:color w:val="000000"/>
          <w:position w:val="4"/>
          <w:sz w:val="22"/>
          <w:szCs w:val="22"/>
          <w:vertAlign w:val="superscript"/>
        </w:rPr>
        <w:t xml:space="preserve">W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aurantifolii</w:t>
      </w:r>
      <w:r>
        <w:rPr>
          <w:rFonts w:ascii="Calibri" w:hAnsi="Calibri" w:eastAsia="Calibri" w:cs="Calibri"/>
          <w:color w:val="000000"/>
          <w:sz w:val="22"/>
          <w:szCs w:val="22"/>
        </w:rPr>
        <w:t xml:space="preserve"> B, C using PCR and real-time PCR.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461-467.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citri pv. aurantifolii</w:t>
      </w:r>
      <w:r>
        <w:rPr>
          <w:rFonts w:ascii="Calibri" w:hAnsi="Calibri" w:eastAsia="Calibri" w:cs="Calibri"/>
          <w:color w:val="000000"/>
          <w:sz w:val="22"/>
          <w:szCs w:val="22"/>
        </w:rPr>
        <w:t xml:space="preserve">. EPPO datasheets on pests recommended for regulation. Available online. </w:t>
      </w:r>
      <w:hyperlink r:id="rId655268057fb3269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76065" name="name885668057fb326a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0668057fb326a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386483">
    <w:multiLevelType w:val="hybridMultilevel"/>
    <w:lvl w:ilvl="0" w:tplc="68851577">
      <w:start w:val="1"/>
      <w:numFmt w:val="decimal"/>
      <w:lvlText w:val="%1."/>
      <w:lvlJc w:val="left"/>
      <w:pPr>
        <w:ind w:left="720" w:hanging="360"/>
      </w:pPr>
    </w:lvl>
    <w:lvl w:ilvl="1" w:tplc="68851577" w:tentative="1">
      <w:start w:val="1"/>
      <w:numFmt w:val="lowerLetter"/>
      <w:lvlText w:val="%2."/>
      <w:lvlJc w:val="left"/>
      <w:pPr>
        <w:ind w:left="1440" w:hanging="360"/>
      </w:pPr>
    </w:lvl>
    <w:lvl w:ilvl="2" w:tplc="68851577" w:tentative="1">
      <w:start w:val="1"/>
      <w:numFmt w:val="lowerRoman"/>
      <w:lvlText w:val="%3."/>
      <w:lvlJc w:val="right"/>
      <w:pPr>
        <w:ind w:left="2160" w:hanging="180"/>
      </w:pPr>
    </w:lvl>
    <w:lvl w:ilvl="3" w:tplc="68851577" w:tentative="1">
      <w:start w:val="1"/>
      <w:numFmt w:val="decimal"/>
      <w:lvlText w:val="%4."/>
      <w:lvlJc w:val="left"/>
      <w:pPr>
        <w:ind w:left="2880" w:hanging="360"/>
      </w:pPr>
    </w:lvl>
    <w:lvl w:ilvl="4" w:tplc="68851577" w:tentative="1">
      <w:start w:val="1"/>
      <w:numFmt w:val="lowerLetter"/>
      <w:lvlText w:val="%5."/>
      <w:lvlJc w:val="left"/>
      <w:pPr>
        <w:ind w:left="3600" w:hanging="360"/>
      </w:pPr>
    </w:lvl>
    <w:lvl w:ilvl="5" w:tplc="68851577" w:tentative="1">
      <w:start w:val="1"/>
      <w:numFmt w:val="lowerRoman"/>
      <w:lvlText w:val="%6."/>
      <w:lvlJc w:val="right"/>
      <w:pPr>
        <w:ind w:left="4320" w:hanging="180"/>
      </w:pPr>
    </w:lvl>
    <w:lvl w:ilvl="6" w:tplc="68851577" w:tentative="1">
      <w:start w:val="1"/>
      <w:numFmt w:val="decimal"/>
      <w:lvlText w:val="%7."/>
      <w:lvlJc w:val="left"/>
      <w:pPr>
        <w:ind w:left="5040" w:hanging="360"/>
      </w:pPr>
    </w:lvl>
    <w:lvl w:ilvl="7" w:tplc="68851577" w:tentative="1">
      <w:start w:val="1"/>
      <w:numFmt w:val="lowerLetter"/>
      <w:lvlText w:val="%8."/>
      <w:lvlJc w:val="left"/>
      <w:pPr>
        <w:ind w:left="5760" w:hanging="360"/>
      </w:pPr>
    </w:lvl>
    <w:lvl w:ilvl="8" w:tplc="68851577" w:tentative="1">
      <w:start w:val="1"/>
      <w:numFmt w:val="lowerRoman"/>
      <w:lvlText w:val="%9."/>
      <w:lvlJc w:val="right"/>
      <w:pPr>
        <w:ind w:left="6480" w:hanging="180"/>
      </w:pPr>
    </w:lvl>
  </w:abstractNum>
  <w:abstractNum w:abstractNumId="53032437">
    <w:multiLevelType w:val="hybridMultilevel"/>
    <w:lvl w:ilvl="0" w:tplc="90691324">
      <w:start w:val="1"/>
      <w:numFmt w:val="decimal"/>
      <w:lvlText w:val="%1."/>
      <w:lvlJc w:val="left"/>
      <w:pPr>
        <w:ind w:left="720" w:hanging="360"/>
      </w:pPr>
    </w:lvl>
    <w:lvl w:ilvl="1" w:tplc="90691324" w:tentative="1">
      <w:start w:val="1"/>
      <w:numFmt w:val="lowerLetter"/>
      <w:lvlText w:val="%2."/>
      <w:lvlJc w:val="left"/>
      <w:pPr>
        <w:ind w:left="1440" w:hanging="360"/>
      </w:pPr>
    </w:lvl>
    <w:lvl w:ilvl="2" w:tplc="90691324" w:tentative="1">
      <w:start w:val="1"/>
      <w:numFmt w:val="lowerRoman"/>
      <w:lvlText w:val="%3."/>
      <w:lvlJc w:val="right"/>
      <w:pPr>
        <w:ind w:left="2160" w:hanging="180"/>
      </w:pPr>
    </w:lvl>
    <w:lvl w:ilvl="3" w:tplc="90691324" w:tentative="1">
      <w:start w:val="1"/>
      <w:numFmt w:val="decimal"/>
      <w:lvlText w:val="%4."/>
      <w:lvlJc w:val="left"/>
      <w:pPr>
        <w:ind w:left="2880" w:hanging="360"/>
      </w:pPr>
    </w:lvl>
    <w:lvl w:ilvl="4" w:tplc="90691324" w:tentative="1">
      <w:start w:val="1"/>
      <w:numFmt w:val="lowerLetter"/>
      <w:lvlText w:val="%5."/>
      <w:lvlJc w:val="left"/>
      <w:pPr>
        <w:ind w:left="3600" w:hanging="360"/>
      </w:pPr>
    </w:lvl>
    <w:lvl w:ilvl="5" w:tplc="90691324" w:tentative="1">
      <w:start w:val="1"/>
      <w:numFmt w:val="lowerRoman"/>
      <w:lvlText w:val="%6."/>
      <w:lvlJc w:val="right"/>
      <w:pPr>
        <w:ind w:left="4320" w:hanging="180"/>
      </w:pPr>
    </w:lvl>
    <w:lvl w:ilvl="6" w:tplc="90691324" w:tentative="1">
      <w:start w:val="1"/>
      <w:numFmt w:val="decimal"/>
      <w:lvlText w:val="%7."/>
      <w:lvlJc w:val="left"/>
      <w:pPr>
        <w:ind w:left="5040" w:hanging="360"/>
      </w:pPr>
    </w:lvl>
    <w:lvl w:ilvl="7" w:tplc="90691324" w:tentative="1">
      <w:start w:val="1"/>
      <w:numFmt w:val="lowerLetter"/>
      <w:lvlText w:val="%8."/>
      <w:lvlJc w:val="left"/>
      <w:pPr>
        <w:ind w:left="5760" w:hanging="360"/>
      </w:pPr>
    </w:lvl>
    <w:lvl w:ilvl="8" w:tplc="90691324" w:tentative="1">
      <w:start w:val="1"/>
      <w:numFmt w:val="lowerRoman"/>
      <w:lvlText w:val="%9."/>
      <w:lvlJc w:val="right"/>
      <w:pPr>
        <w:ind w:left="6480" w:hanging="180"/>
      </w:pPr>
    </w:lvl>
  </w:abstractNum>
  <w:abstractNum w:abstractNumId="53032436">
    <w:multiLevelType w:val="hybridMultilevel"/>
    <w:lvl w:ilvl="0" w:tplc="769379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032436">
    <w:abstractNumId w:val="53032436"/>
  </w:num>
  <w:num w:numId="53032437">
    <w:abstractNumId w:val="53032437"/>
  </w:num>
  <w:num w:numId="122386483">
    <w:abstractNumId w:val="1223864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190495" Type="http://schemas.microsoft.com/office/2011/relationships/commentsExtended" Target="commentsExtended.xml"/><Relationship Id="rId866875682" Type="http://schemas.microsoft.com/office/2011/relationships/people" Target="people.xml"/><Relationship Id="rId797468057fb317846" Type="http://schemas.openxmlformats.org/officeDocument/2006/relationships/hyperlink" Target="https://gd.eppo.int/taxon/XANTCI/datasheet" TargetMode="External"/><Relationship Id="rId291468057fb317b0f" Type="http://schemas.openxmlformats.org/officeDocument/2006/relationships/hyperlink" Target="https://gd.eppo.int/taxon/XANTAU/" TargetMode="External"/><Relationship Id="rId624768057fb317b89" Type="http://schemas.openxmlformats.org/officeDocument/2006/relationships/hyperlink" Target="https://gd.eppo.int/taxon/XANTAU/categorization" TargetMode="External"/><Relationship Id="rId658068057fb3227e1" Type="http://schemas.openxmlformats.org/officeDocument/2006/relationships/hyperlink" Target="https://doi.org/10.1099/ijs.0.65453-0" TargetMode="External"/><Relationship Id="rId111468057fb3228be" Type="http://schemas.openxmlformats.org/officeDocument/2006/relationships/hyperlink" Target="https://doi.org/10.1094/Phyto-81-857" TargetMode="External"/><Relationship Id="rId577468057fb322970" Type="http://schemas.openxmlformats.org/officeDocument/2006/relationships/hyperlink" Target="https://doi.org/10.1094/PDIS-11-20-2498-PDN" TargetMode="External"/><Relationship Id="rId874268057fb3229fa" Type="http://schemas.openxmlformats.org/officeDocument/2006/relationships/hyperlink" Target="https://doi.org/10.1094/PHYTO-08-21-0342-SC" TargetMode="External"/><Relationship Id="rId813968057fb322a6b" Type="http://schemas.openxmlformats.org/officeDocument/2006/relationships/hyperlink" Target="https://doi.org/10.1007/s40858-020-00377-2" TargetMode="External"/><Relationship Id="rId543068057fb322c43" Type="http://schemas.openxmlformats.org/officeDocument/2006/relationships/hyperlink" Target="https://doi.org/10.1099/ijs.0.009514-0" TargetMode="External"/><Relationship Id="rId137268057fb322cfd" Type="http://schemas.openxmlformats.org/officeDocument/2006/relationships/hyperlink" Target="https://doi.org/10.5772/intechopen.97776" TargetMode="External"/><Relationship Id="rId856468057fb322e16" Type="http://schemas.openxmlformats.org/officeDocument/2006/relationships/hyperlink" Target="https://doi.org/10.5423/PPJ.RW.03.2017.0071" TargetMode="External"/><Relationship Id="rId376468057fb322f9c" Type="http://schemas.openxmlformats.org/officeDocument/2006/relationships/hyperlink" Target="https://www.cabidigitallibrary.org/doi/10.1079/cabicompendium.56921" TargetMode="External"/><Relationship Id="rId728468057fb32312c" Type="http://schemas.openxmlformats.org/officeDocument/2006/relationships/hyperlink" Target="https://doi.org/10.1094/PD-66-231" TargetMode="External"/><Relationship Id="rId218668057fb323209" Type="http://schemas.openxmlformats.org/officeDocument/2006/relationships/hyperlink" Target="https://doi.org/10.1111/ppa.12461" TargetMode="External"/><Relationship Id="rId289468057fb32329f" Type="http://schemas.openxmlformats.org/officeDocument/2006/relationships/hyperlink" Target="https://doi.org/10.1128/AEM.68.3.1257-1264.2002" TargetMode="External"/><Relationship Id="rId873368057fb323323" Type="http://schemas.openxmlformats.org/officeDocument/2006/relationships/hyperlink" Target="https://doi.org/10.1094/PHYTO-95-1333" TargetMode="External"/><Relationship Id="rId904768057fb3234c5" Type="http://schemas.openxmlformats.org/officeDocument/2006/relationships/hyperlink" Target="https://doi.org/10.1038/417459a" TargetMode="External"/><Relationship Id="rId785468057fb323537" Type="http://schemas.openxmlformats.org/officeDocument/2006/relationships/hyperlink" Target="https://doi.org/10.1094/PDIS-04-14-0384-RE" TargetMode="External"/><Relationship Id="rId484768057fb3235dd" Type="http://schemas.openxmlformats.org/officeDocument/2006/relationships/hyperlink" Target="https://doi.org/10.1094/PDIS-04-12-0351-RE" TargetMode="External"/><Relationship Id="rId182668057fb3236ad" Type="http://schemas.openxmlformats.org/officeDocument/2006/relationships/hyperlink" Target="https://edis.ifas.ufl.edu/publication/CG040" TargetMode="External"/><Relationship Id="rId712868057fb3237ad" Type="http://schemas.openxmlformats.org/officeDocument/2006/relationships/hyperlink" Target="https://doi.org/10.1094/MPMI-06-14-0184-R" TargetMode="External"/><Relationship Id="rId617768057fb323964" Type="http://schemas.openxmlformats.org/officeDocument/2006/relationships/hyperlink" Target="https://doi.org/10.2903/j.efsa.2012.3027" TargetMode="External"/><Relationship Id="rId146168057fb323a1e" Type="http://schemas.openxmlformats.org/officeDocument/2006/relationships/hyperlink" Target="https://doi.org/10.2903/sp.efsa.2019.EN-1587" TargetMode="External"/><Relationship Id="rId525568057fb323aaf" Type="http://schemas.openxmlformats.org/officeDocument/2006/relationships/hyperlink" Target="https://doi.org/10.1111/epp.12684" TargetMode="External"/><Relationship Id="rId766068057fb323b22" Type="http://schemas.openxmlformats.org/officeDocument/2006/relationships/hyperlink" Target="https://gd.eppo.int/taxon/XANTCI/datasheet" TargetMode="External"/><Relationship Id="rId922068057fb323bf6" Type="http://schemas.openxmlformats.org/officeDocument/2006/relationships/hyperlink" Target="https://doi.org/10.1111/epp.12913" TargetMode="External"/><Relationship Id="rId327968057fb323cff" Type="http://schemas.openxmlformats.org/officeDocument/2006/relationships/hyperlink" Target="https://doi.org/10.1111/mpp.12019" TargetMode="External"/><Relationship Id="rId931468057fb323e1e" Type="http://schemas.openxmlformats.org/officeDocument/2006/relationships/hyperlink" Target="https://doi.org/10.1111/mpp.12638" TargetMode="External"/><Relationship Id="rId165068057fb323ed4" Type="http://schemas.openxmlformats.org/officeDocument/2006/relationships/hyperlink" Target="https://doi.org/10.3389/fmicb.2019.02361" TargetMode="External"/><Relationship Id="rId933368057fb323f6a" Type="http://schemas.openxmlformats.org/officeDocument/2006/relationships/hyperlink" Target="http://doi.org/10.7717/peerj.7676" TargetMode="External"/><Relationship Id="rId128368057fb32404b" Type="http://schemas.openxmlformats.org/officeDocument/2006/relationships/hyperlink" Target="https://doi.org/10.1099/00207713-39-1-14" TargetMode="External"/><Relationship Id="rId250468057fb324082" Type="http://schemas.openxmlformats.org/officeDocument/2006/relationships/hyperlink" Target="https://ufdc.ufl.edu/ufe0046962/00001" TargetMode="External"/><Relationship Id="rId610268057fb3241cf" Type="http://schemas.openxmlformats.org/officeDocument/2006/relationships/hyperlink" Target="https://doi.org/10.1111/ppa.12361" TargetMode="External"/><Relationship Id="rId888568057fb324280" Type="http://schemas.openxmlformats.org/officeDocument/2006/relationships/hyperlink" Target="https://doi.org/10.1111/mpp.12408" TargetMode="External"/><Relationship Id="rId838368057fb32432e" Type="http://schemas.openxmlformats.org/officeDocument/2006/relationships/hyperlink" Target="https://doi.org/10.1111/j.1365-2672.2007.03484.x" TargetMode="External"/><Relationship Id="rId571868057fb3244f9" Type="http://schemas.openxmlformats.org/officeDocument/2006/relationships/hyperlink" Target="https://doi.org/10.1094/PD-72-0781" TargetMode="External"/><Relationship Id="rId855968057fb3245a9" Type="http://schemas.openxmlformats.org/officeDocument/2006/relationships/hyperlink" Target="https://doi.org/10.1094/Phyto-81-749" TargetMode="External"/><Relationship Id="rId577368057fb32461b" Type="http://schemas.openxmlformats.org/officeDocument/2006/relationships/hyperlink" Target="https://doi.org/10.1094/PHYTO.2001.91.1.30" TargetMode="External"/><Relationship Id="rId510468057fb32466c" Type="http://schemas.openxmlformats.org/officeDocument/2006/relationships/hyperlink" Target="https://doi.org/10.1094/PHP-2002-0812-01-RV" TargetMode="External"/><Relationship Id="rId780468057fb3246f2" Type="http://schemas.openxmlformats.org/officeDocument/2006/relationships/hyperlink" Target="https://doi.org/10.1094/PD-75-1193" TargetMode="External"/><Relationship Id="rId844968057fb32483f" Type="http://schemas.openxmlformats.org/officeDocument/2006/relationships/hyperlink" Target="https://doi.org/10.1046/j.1364-3703.2004.00197.x" TargetMode="External"/><Relationship Id="rId398868057fb3248d0" Type="http://schemas.openxmlformats.org/officeDocument/2006/relationships/hyperlink" Target="https://doi.org/10.1371/journal.pone.0006632" TargetMode="External"/><Relationship Id="rId308868057fb3249c4" Type="http://schemas.openxmlformats.org/officeDocument/2006/relationships/hyperlink" Target="https://www.ippc.int/en/publications/dp-6-2014-xanthomonas-citri-subsp-citri/" TargetMode="External"/><Relationship Id="rId279768057fb324b96" Type="http://schemas.openxmlformats.org/officeDocument/2006/relationships/hyperlink" Target="https://doi.org/10.1094/PDIS-93-10-1074B" TargetMode="External"/><Relationship Id="rId827068057fb324d23" Type="http://schemas.openxmlformats.org/officeDocument/2006/relationships/hyperlink" Target="https://doi.org/10.1016/0261-2194(90)90038-9" TargetMode="External"/><Relationship Id="rId195868057fb324db5" Type="http://schemas.openxmlformats.org/officeDocument/2006/relationships/hyperlink" Target="https://doi.org/10.1073/pnas.0705590104" TargetMode="External"/><Relationship Id="rId201068057fb324e99" Type="http://schemas.openxmlformats.org/officeDocument/2006/relationships/hyperlink" Target="https://doi.org/10.3390/microorganisms10050986" TargetMode="External"/><Relationship Id="rId324568057fb32516b" Type="http://schemas.openxmlformats.org/officeDocument/2006/relationships/hyperlink" Target="https://doi.org/10.1186/1471-2164-11-238" TargetMode="External"/><Relationship Id="rId929668057fb3252a2" Type="http://schemas.openxmlformats.org/officeDocument/2006/relationships/hyperlink" Target="https://doi.org/10.3390/agronomy12051075" TargetMode="External"/><Relationship Id="rId427668057fb325367" Type="http://schemas.openxmlformats.org/officeDocument/2006/relationships/hyperlink" Target="https://doi.org/10.1590/S0100-41582006000200003" TargetMode="External"/><Relationship Id="rId938168057fb3254cc" Type="http://schemas.openxmlformats.org/officeDocument/2006/relationships/hyperlink" Target="https://doi.org/10.1186/s12864-019-6007-4" TargetMode="External"/><Relationship Id="rId333068057fb325563" Type="http://schemas.openxmlformats.org/officeDocument/2006/relationships/hyperlink" Target="https://doi.org/10.1099/00207713-50-2-665" TargetMode="External"/><Relationship Id="rId460768057fb3255f9" Type="http://schemas.openxmlformats.org/officeDocument/2006/relationships/hyperlink" Target="https://doi.org/10.1094/PHYTO-95-1098" TargetMode="External"/><Relationship Id="rId984468057fb32568b" Type="http://schemas.openxmlformats.org/officeDocument/2006/relationships/hyperlink" Target="https://doi.org/10.1128/aem.02101-22" TargetMode="External"/><Relationship Id="rId120368057fb32573f" Type="http://schemas.openxmlformats.org/officeDocument/2006/relationships/hyperlink" Target="https://doi.org/10.1186/s12866-020-01972-8" TargetMode="External"/><Relationship Id="rId352068057fb32584b" Type="http://schemas.openxmlformats.org/officeDocument/2006/relationships/hyperlink" Target="https://doi.org/10.1186/1471-2180-12-43" TargetMode="External"/><Relationship Id="rId310168057fb325da9" Type="http://schemas.openxmlformats.org/officeDocument/2006/relationships/hyperlink" Target="https://doi.org/10.1016/j.syapm.2005.03.017" TargetMode="External"/><Relationship Id="rId273568057fb325e27" Type="http://schemas.openxmlformats.org/officeDocument/2006/relationships/hyperlink" Target="https://doi.org/%2010.1016/j.syapm.2006.08.001" TargetMode="External"/><Relationship Id="rId560468057fb325eb6" Type="http://schemas.openxmlformats.org/officeDocument/2006/relationships/hyperlink" Target="https://doi.org/10.1016/j.syapm.2006.08.001" TargetMode="External"/><Relationship Id="rId502668057fb325f1c" Type="http://schemas.openxmlformats.org/officeDocument/2006/relationships/hyperlink" Target="https://doi.org/10.1094/PD-71-0388" TargetMode="External"/><Relationship Id="rId694368057fb325f91" Type="http://schemas.openxmlformats.org/officeDocument/2006/relationships/hyperlink" Target="https://doi.org/10.1094/PDIS.2001.85.4.340" TargetMode="External"/><Relationship Id="rId948268057fb326059" Type="http://schemas.openxmlformats.org/officeDocument/2006/relationships/hyperlink" Target="https://doi.org/10.1094/PDIS.2004.88.11.1179" TargetMode="External"/><Relationship Id="rId127868057fb32610a" Type="http://schemas.openxmlformats.org/officeDocument/2006/relationships/hyperlink" Target="https://doi.org/10.3390/agriculture10050171" TargetMode="External"/><Relationship Id="rId886068057fb32617f" Type="http://schemas.openxmlformats.org/officeDocument/2006/relationships/hyperlink" Target="https://doi.org/10.1016/j.heliyon.2021.e06137" TargetMode="External"/><Relationship Id="rId689668057fb32621b" Type="http://schemas.openxmlformats.org/officeDocument/2006/relationships/hyperlink" Target="https://doi.org/10.1099/00207713-45-3-472" TargetMode="External"/><Relationship Id="rId246068057fb326374" Type="http://schemas.openxmlformats.org/officeDocument/2006/relationships/hyperlink" Target="https://doi.org/10.1128/aem.59.1.243-249.1993" TargetMode="External"/><Relationship Id="rId267568057fb326437" Type="http://schemas.openxmlformats.org/officeDocument/2006/relationships/hyperlink" Target="https://doi.org/10.1023/A:1008676508688" TargetMode="External"/><Relationship Id="rId298268057fb326568" Type="http://schemas.openxmlformats.org/officeDocument/2006/relationships/hyperlink" Target="https://doi.org/10.1094/PHYTOFR-04-22-0044-FI" TargetMode="External"/><Relationship Id="rId939368057fb32665a" Type="http://schemas.openxmlformats.org/officeDocument/2006/relationships/hyperlink" Target="https://doi.org/10.1016/j.syapm.2008.06.004" TargetMode="External"/><Relationship Id="rId960868057fb326786" Type="http://schemas.openxmlformats.org/officeDocument/2006/relationships/hyperlink" Target="https://doi.org/10.5423/rpd.2012.18.2.129" TargetMode="External"/><Relationship Id="rId655268057fb326946" Type="http://schemas.openxmlformats.org/officeDocument/2006/relationships/hyperlink" Target="https://gd.eppo.int" TargetMode="External"/><Relationship Id="rId604968057fb31f934" Type="http://schemas.openxmlformats.org/officeDocument/2006/relationships/image" Target="media/imgrId604968057fb31f934.jpg"/><Relationship Id="rId510668057fb326a08" Type="http://schemas.openxmlformats.org/officeDocument/2006/relationships/image" Target="media/imgrId510668057fb326a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