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(Hasse)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citri</w:t>
            </w:r>
            <w:r>
              <w:rPr>
                <w:rFonts w:ascii="Calibri" w:hAnsi="Calibri" w:eastAsia="Calibri" w:cs="Calibri"/>
                <w:color w:val="000000"/>
                <w:position w:val="-3"/>
                <w:sz w:val="22"/>
                <w:szCs w:val="22"/>
              </w:rPr>
              <w:t xml:space="preserve"> (Hasse) Vauterin, Hoste, Kersters &amp; Swings, </w:t>
            </w:r>
            <w:r>
              <w:rPr>
                <w:rFonts w:ascii="Calibri" w:hAnsi="Calibri" w:eastAsia="Calibri" w:cs="Calibri"/>
                <w:i/>
                <w:iCs/>
                <w:color w:val="000000"/>
                <w:position w:val="-3"/>
                <w:sz w:val="22"/>
                <w:szCs w:val="22"/>
              </w:rPr>
              <w:t xml:space="preserve">Xanthomonas campestris pv. citri</w:t>
            </w:r>
            <w:r>
              <w:rPr>
                <w:rFonts w:ascii="Calibri" w:hAnsi="Calibri" w:eastAsia="Calibri" w:cs="Calibri"/>
                <w:color w:val="000000"/>
                <w:position w:val="-3"/>
                <w:sz w:val="22"/>
                <w:szCs w:val="22"/>
              </w:rPr>
              <w:t xml:space="preserve"> (Hasse) Dye, </w:t>
            </w:r>
            <w:r>
              <w:rPr>
                <w:rFonts w:ascii="Calibri" w:hAnsi="Calibri" w:eastAsia="Calibri" w:cs="Calibri"/>
                <w:i/>
                <w:iCs/>
                <w:color w:val="000000"/>
                <w:position w:val="-3"/>
                <w:sz w:val="22"/>
                <w:szCs w:val="22"/>
              </w:rPr>
              <w:t xml:space="preserve">Xanthomonas citri subsp. citri</w:t>
            </w:r>
            <w:r>
              <w:rPr>
                <w:rFonts w:ascii="Calibri" w:hAnsi="Calibri" w:eastAsia="Calibri" w:cs="Calibri"/>
                <w:color w:val="000000"/>
                <w:position w:val="-3"/>
                <w:sz w:val="22"/>
                <w:szCs w:val="22"/>
              </w:rPr>
              <w:t xml:space="preserve"> (ex Hasse)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canker, Asiatic citrus canker (A strains), bacterial canker of citrus, cancrosis A (A strains), citrus canker</w:t>
            </w:r>
            <w:hyperlink r:id="rId650467844b4c1c1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7567844b4c1c2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56905" name="name862167844b4c1ca74" descr="1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6.jpg"/>
                          <pic:cNvPicPr/>
                        </pic:nvPicPr>
                        <pic:blipFill>
                          <a:blip r:embed="rId906967844b4c1ca72" cstate="print"/>
                          <a:stretch>
                            <a:fillRect/>
                          </a:stretch>
                        </pic:blipFill>
                        <pic:spPr>
                          <a:xfrm>
                            <a:off x="0" y="0"/>
                            <a:ext cx="2160000" cy="1281600"/>
                          </a:xfrm>
                          <a:prstGeom prst="rect">
                            <a:avLst/>
                          </a:prstGeom>
                          <a:ln w="0">
                            <a:noFill/>
                          </a:ln>
                        </pic:spPr>
                      </pic:pic>
                    </a:graphicData>
                  </a:graphic>
                </wp:inline>
              </w:drawing>
            </w:r>
            <w:hyperlink r:id="rId592167844b4c1cb5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Three infra-pathovar groups, which differ in pathogenicity are referred to as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Rybak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strains overall have the greatest impact on citrus crops. They induce natural canker infections on a broad range of rutaceous species, including nearly all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cultivars, hybrids as well as members of the following genera: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w:t>
      </w:r>
      <w:r>
        <w:rPr>
          <w:rFonts w:ascii="Calibri" w:hAnsi="Calibri" w:eastAsia="Calibri" w:cs="Calibri"/>
          <w:color w:val="000000"/>
          <w:sz w:val="22"/>
          <w:szCs w:val="22"/>
        </w:rPr>
        <w:t xml:space="preserve">now syn.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Hesperethusa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Poncirus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Aegle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but incongruent reports were sometimes produced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Koizumi, 1978, Koizumi, 1981, Lee, 1918, Reddy, 1997, Stover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Pathotype A* strains are pathogenic to a restricted range of citrus species. Most outbreaks were primarily reported on Mexican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and to a lesser extent on relatives such as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or Tahiti (or Persian)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Unique A* strains reported from Iran rarely cause mild natural infections on a few other species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strains can produce mild canker-like lesions when artificially inoculated to tested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other than lime (Derso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present a host range restricted to Mexican lime and the related alemow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Munoz Bodnar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natural infections, it is to be noted that all pathotypes affect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 </w:t>
      </w:r>
      <w:r>
        <w:rPr>
          <w:rFonts w:ascii="Calibri" w:hAnsi="Calibri" w:eastAsia="Calibri" w:cs="Calibri"/>
          <w:color w:val="000000"/>
          <w:sz w:val="22"/>
          <w:szCs w:val="22"/>
        </w:rPr>
        <w:t xml:space="preserve">Pathotypes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affect</w:t>
      </w:r>
      <w:r>
        <w:rPr>
          <w:rFonts w:ascii="Calibri" w:hAnsi="Calibri" w:eastAsia="Calibri" w:cs="Calibri"/>
          <w:i/>
          <w:iCs/>
          <w:color w:val="000000"/>
          <w:sz w:val="22"/>
          <w:szCs w:val="22"/>
        </w:rPr>
        <w:t xml:space="preserve"> 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 </w:t>
      </w:r>
      <w:r>
        <w:rPr>
          <w:rFonts w:ascii="Calibri" w:hAnsi="Calibri" w:eastAsia="Calibri" w:cs="Calibri"/>
          <w:color w:val="000000"/>
          <w:sz w:val="22"/>
          <w:szCs w:val="22"/>
        </w:rPr>
        <w:t xml:space="preserve">and pathotypes A and A</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affect</w:t>
      </w:r>
      <w:r>
        <w:rPr>
          <w:rFonts w:ascii="Calibri" w:hAnsi="Calibri" w:eastAsia="Calibri" w:cs="Calibri"/>
          <w:i/>
          <w:iCs/>
          <w:color w:val="000000"/>
          <w:sz w:val="22"/>
          <w:szCs w:val="22"/>
        </w:rPr>
        <w:t xml:space="preserve"> C. latifolia</w:t>
      </w:r>
      <w:r>
        <w:rPr>
          <w:rFonts w:ascii="Calibri" w:hAnsi="Calibri" w:eastAsia="Calibri" w:cs="Calibri"/>
          <w:color w:val="000000"/>
          <w:sz w:val="22"/>
          <w:szCs w:val="22"/>
        </w:rPr>
        <w:t xml:space="preserve"> and C</w:t>
      </w:r>
      <w:r>
        <w:rPr>
          <w:rFonts w:ascii="Calibri" w:hAnsi="Calibri" w:eastAsia="Calibri" w:cs="Calibri"/>
          <w:i/>
          <w:iCs/>
          <w:color w:val="000000"/>
          <w:sz w:val="22"/>
          <w:szCs w:val="22"/>
        </w:rPr>
        <w:t xml:space="preserve">. limettioides.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affects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lines with different levels of susceptibility, some lines of </w:t>
      </w:r>
      <w:r>
        <w:rPr>
          <w:rFonts w:ascii="Calibri" w:hAnsi="Calibri" w:eastAsia="Calibri" w:cs="Calibri"/>
          <w:i/>
          <w:iCs/>
          <w:color w:val="000000"/>
          <w:sz w:val="22"/>
          <w:szCs w:val="22"/>
        </w:rPr>
        <w:t xml:space="preserve">C. japonica</w:t>
      </w:r>
      <w:r>
        <w:rPr>
          <w:rFonts w:ascii="Calibri" w:hAnsi="Calibri" w:eastAsia="Calibri" w:cs="Calibri"/>
          <w:color w:val="000000"/>
          <w:sz w:val="22"/>
          <w:szCs w:val="22"/>
        </w:rPr>
        <w:t xml:space="preserve"> seem immune (Khalaf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whereas others can host natural infections. Pathotype A also affects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 ailanthoides </w:t>
      </w:r>
      <w:r>
        <w:rPr>
          <w:rFonts w:ascii="Calibri" w:hAnsi="Calibri" w:eastAsia="Calibri" w:cs="Calibri"/>
          <w:color w:val="000000"/>
          <w:sz w:val="22"/>
          <w:szCs w:val="22"/>
        </w:rPr>
        <w:t xml:space="preserve">but these species were mostly found to be weakly susceptible.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likely to have originated from the Indian subcontinent, as inferred by phylogeographical analyses (Patane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corresponding to the area from where the oldest diseased herbarium specimens showing canker symptoms were collected (Fawcett &amp; Jenkins, 1933). The disease was first reported in East Asia (Japan)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(Kuhara, 1978). Geographical expansion out of Asia was recorded starting in the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(in the USA, South Africa and Australia) but is very likely to have occurred earlier (Hasse, 1915, Doidge, 1916,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Some of the outbreaks outside Asia were successfully eradicated. The pathogen subsequently emerged in South America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Africa (early 21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now widely distributed across many citrus production basins worldwide.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currently absent from the EPPO region. Interceptions of citrus diseased fruit or foliage caused by this pest are recurrently reported at the borders of the European Union (more than 300 interceptions were reported over the last 20 years, EPPO Reporting Service).</w:t>
      </w:r>
    </w:p>
    <w:p>
      <w:r>
        <w:drawing>
          <wp:inline distT="0" distB="0" distL="0" distR="0">
            <wp:extent cx="6120000" cy="3067200"/>
            <wp:docPr id="75977961" name="name274367844b4c1e870" descr="XAN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CI_distribution_map.jpg"/>
                    <pic:cNvPicPr/>
                  </pic:nvPicPr>
                  <pic:blipFill>
                    <a:blip r:embed="rId147667844b4c1e8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Comoros, Ethiopia, Gabon, Mali, Mauritius, Mayotte, Reunion, Senegal, Seychelles, Somalia, Sudan,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(Chongqing, Fujian, Guangdong, Guangxi, Guizhou, Hubei, Hunan, Jiangsu, Jiangxi, Sichuan, Xianggang (Hong Kong), Yunnan, Zhejiang), Christmas Island, Cocos Islands, East Timor, India (Andaman and Nicobar Islands, Andhra Pradesh, Assam, Gujarat, Haryana, Karnataka, Maharashtra, Punjab, Sikkim, Tamil Nadu, West Bengal), Indonesia (Irian Jaya, Java, Sumatra), Iran, Iraq, Japan (Honshu, Kyushu, Shikoku), Korea Dem. People's Republic, Korea, Republic, Laos, Malaysia (Sabah,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Martinique,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Minas Gerais, Parana, Rio Grande do Norte, Rio Grande do Sul, Roraima, Santa Catarina, Sao Paulo),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Guam, Marshall Islands, Micronesia, Northern Mariana Islands, Palau,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occurs through natural openings (stomata) and wounds, and variations in susceptibility to infection are related to tissue age for a given citrus cultivar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multiplies in the intercellular spaces of the mesophyll (the bacterium is not intracellular) and induces cell enlargement (hypertrophy) and division (hyperplasia) of host cells, eventually producing canker lesions (Brunings &amp; Gabriel, 2003; Jalan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Green, actively growing fruits and young leaves (one-half to two-thirds expansion) are most susceptible to infection. Wounds created by grove maintenance operations, insects (e.g.,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thorns and wind are highly efficient infection sites which allow infection to occur on older organs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single cell of</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forced into a stoma may initiate infection (Gottwald &amp; Graham, 1992). When the pathogen is not enforced into stomata by wind pressure and in the absence of wounds, bacterial suspensions containing approximately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cells/mL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are typically required to induce lesions from spray inoculation (Goto, 1992).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produce lesions at temperatures ranging from 12 to 40°C, with an optimum of 25–35°C (Dalla Pria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also drives the length of the latency period, which can extend over several weeks (Koizumi, 1976).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survives efficiently in canker lesions, which represent the most biologically significant inoculum source. Live populations in young leaf lesions typically exceed 10</w:t>
      </w:r>
      <w:r>
        <w:rPr>
          <w:rFonts w:ascii="Calibri" w:hAnsi="Calibri" w:eastAsia="Calibri" w:cs="Calibri"/>
          <w:color w:val="000000"/>
          <w:position w:val="4"/>
          <w:sz w:val="22"/>
          <w:szCs w:val="22"/>
          <w:vertAlign w:val="superscript"/>
        </w:rPr>
        <w:t xml:space="preserve">7</w:t>
      </w:r>
      <w:r>
        <w:rPr>
          <w:rFonts w:ascii="Calibri" w:hAnsi="Calibri" w:eastAsia="Calibri" w:cs="Calibri"/>
          <w:color w:val="000000"/>
          <w:sz w:val="22"/>
          <w:szCs w:val="22"/>
        </w:rPr>
        <w:t xml:space="preserve"> cells per lesion. The decrease of populations sizes while lesions age appears to be environment-dependent with greater decline reported in areas with a definite winter season when compared to tropical situations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Dynamics of lesion development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multiplication were found to be related to host resistance (Koizumi, 1979).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survive in twig cankers (and remain culturable – Pruvost, unpublished data) for up to approximately 5 years (Goto, 1970). Survival in lesions on dry leaves on soil or incorporated into soil occurs only at low population sizes (10</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to 10</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cells per lesion) for a few months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1975b;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Asymptomatic plant material may host the pathogen either as latent infections or surface populations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form biofilms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Rigano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viable but not culturable (VBNC) state has been suggested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response to copper treatments (Del Campo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is no report of seed transmission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bacterium was found to survive over weeks to months at low population levels in association with weeds (Goto, 1970;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1975a; Leite &amp; Mohan, 1987). The bacterium also survives for short time periods (24–72 hours) on inert surfaces e.g. on agricultural equipment, vehicles, fruit crates, clothes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caused by rain or irrigation occurs over short distances and allows movement of the inoculum between adult trees or between plants in nurseries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Although not documented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xanthomonads may spread as aerosols over short to medium distances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Wind-driven rains spread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over distances that depend on wind speed. Within-grove dispersal among trees is achieved when wind speed reaches or exceeds approximately 8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Extreme weather events can spread the pathogen over distances up to approximately 50 km in the case of a major hurricane (Irey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infects all aerial parts of its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tests (conventional PCR, real-time PCR and LAMP) are available for the specific detection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have recently been validated in a test performance study (Anthoine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can be based on different tests including conventional or real-time PCR, DNA barcoding, minisatellite-based typing, CRISPR based typing. The use of pathogenicity tests is recommended for critical cases. The EPPO Standard PM 7/44 (EPPO, 2023) provides instructions on sampling and testing plant materials. The procedure for inspection of citrus fruit consignments is reported in EPPO Standard PM 3/90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spread as a consequence of human activities (e.g. movement of contaminated plant propagative material or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w:t>
      </w:r>
    </w:p>
    <w:p>
      <w:pPr>
        <w:numPr>
          <w:ilvl w:val="0"/>
          <w:numId w:val="86975026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86975026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86975026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86975026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86975026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86975026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86975026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very likely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one of the main sanitary threats for citrus industries worldwide. Although not the cause of tree death, the pathogen has serious direct and indirect economic impacts. Direct impacts include alteration of fruit quality and yield (due to early fruit drop), the severity of the effect is influenced by the host species, the bacterial strain and the environmental conditions. Reports from Argentina mention disease incidence rates on susceptible grapefruit fruit without chemical control of up to 80 % and early fruit drop reaching 50 % on Hamlin sweet orange (Stall &amp; Seymour, 1983). Direct impacts also include defoliation of heavily infected trees and/or twig dieback, as well as production cost increase due to implemented control measures. The annual cost ascribed to the presence Asiatic citrus canker in Florida only (approximately 0.3 million hectares of commercial citrus at the time of assessment) was estimated as ca. 350 million USD per year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Indirect impacts include restricted access to fruit export markets (e.g. the European Union, Australia) for countries or areas where satisfactory control of the disease cannot be achieved, undesirable consequences of chemical control (e.g. development of copper and antibiotic resistance and risk of transfer to other bacteria in the environment or phytotoxicity of copper compounds accumulating in soils). In Australia, the eradication of a citrus canker outbreak in Queensland in 2004 yielded an estimated potential net benefit of about 70 million AUD. The economic benefits of averting a national outbreak of citrus canker would be 410 million AUD if the estimated cost of an Australian citrus ban for five years would be 2 billion AUD (Alam &amp; Rolfe, 2006, Gambley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extremely wide geographic distribution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includes three major world citrus producers (i.e. USA, Brazil and China) as well as many other countries where citrus represents a significant income source for small-scale farmers.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cases where eradication is not feasible (see section ‘Phytosanitary measures’), the alternative strategy is based on integrated pest management (IPM), which aims to reduce the rate of infection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attempt to keep disease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Chemical control alone cannot adequately control Asiatic citrus canker. Bacteriophage-assisted biological control has been attempted but with limited success. Resistance to copper compounds, first reported in pathotype A strains from Argentina in the mid 1990s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identified more recently in other regions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pathotype A* originating from Southeast Asia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Similarly, streptomycin-resistant strains were reported from South Korea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Postharvest treatments (e.g. sodium orthophenylphenate) are frequently applied in packing lines but they effect is partial, they only decrease population levels of the pathogen but do not eliminate it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several countries in Africa, America, Asia, Europe and Oceania and for several regional plant protection organizations. Moreover,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listed as a dual-use organism in the European Union because of its potential use as a biological weapon (Directive 1183/2007 EC)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estimated to be likely to establish and spread in this European Union if reaching susceptible hosts (EFSA, 2014). Based on the EFSA analysis, this pathogen is a risk for the European Union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transferred to a suitable host,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cannot be controlled without strong phytosanitary measures. The effectiveness of strict regulatory control within the European Union has been reviewed (EFSA, 2014). Asiatic citrus canker is a disease for which eradication represents a feasible option, based on (i) its major economic impact, (ii) the biological characteristics of its causal agent and (iii) the successful eradication campaigns achieved in several countries (Australia, New Zealand, South Africa, the USA)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When an outbreak is observed in a new area, successful eradication requires efficient surveillance systems as well as quick and appropriate management measures on diseased and exposed trees. This strategy represents in this case the most cost-effective option (see ‘Economic impact’ section). Eradication of large outbreaks can become very difficult and costly (for example efforts implemented in Florida over a decade starting in the mid-1990s have cost more than one billion USD) and suffer low acceptability (Gottwald &amp; Irey, 2007, Parnell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Centner &amp; Ferreira, 2012, Cunniffe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European Union, the EFSA Plant Health Panel has reviewed the EU current phytosanitary measures to prevent the introduction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(EFSA, 2014) and EU Regulation 2019/2072 updated these requirements. Briefly, main current measures include the prohibition of importation of plants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Importation of plants of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is allowed only from certified pest-free third countries or pest-free areas. and the authorization of fruit (free from peduncles and leaves with a packaging bearing an appropriate origin mark) importation only from certified (1) pest-free third countries, (2) pest-free areas or (3) pest-free place of production established by the national plant protection organisation in the country of origin. Alternatively (4), an official control and examination should ascertain that (i) the site of production and the immediate vicinity are subject to appropriate treatments and cultural practices against</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(ii) the fruits have been subjected to a treatment with sodium orthophenylphenate, or another effective treatment that should be mentioned on the phytosanitary certificate referred to in Article 71 of EU Regulation 2016/2031, and the treatment method has been communicated in advance in writing to the European Commission by the national plant protection organization of the third country concerned, and (iii) official inspections carried out at appropriate times prior to export have certified that the fruits harvested in the place of production has shown that the fruits are free from symptoms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(iv) information on traceability is included in the phytosanitary certificate. In the case of fruits destined for industrial processing, (i), (iii) and (iv) apply as well as (v) movement, storage and processing takes place under conditions, approved in accordance with the procedure referred to in Article 107 of the EU Regulation, and (vi) the fruits have been transported in individual packages bearing a label, which contains a traceability code and the indication that the fruits are destined for industrial processing. Other EPPO countries have applied similar 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the pathogen,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Asiatic citrus canker symptoms and host plants. Countries should have access to laboratories with trained diagnosticians, experienced and competent in the identification of the pathogen according the EPPO PM 7/44 Diagnostic Protocol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Alam K &amp; Rolfe J (2006) Economics of plant disease outbreaks. </w:t>
      </w:r>
      <w:r>
        <w:rPr>
          <w:rFonts w:ascii="Calibri" w:hAnsi="Calibri" w:eastAsia="Calibri" w:cs="Calibri"/>
          <w:i/>
          <w:iCs/>
          <w:color w:val="000000"/>
          <w:sz w:val="22"/>
          <w:szCs w:val="22"/>
        </w:rPr>
        <w:t xml:space="preserve">Agenda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Brittain I, Chabirand A, Dreo T, Faggioli F, Gueniau M. Harrison C, Luigi M, Lukežič T, Mehle N, Mezzalama M, Mouaziz H, Ravnikar M, Renvoisé JP, Spadaro D, Tomassoli L &amp; Vučurović A (2020) VALITEST - D1.3 List of tests for validation - Round 2 (Version 1). </w:t>
      </w:r>
      <w:r>
        <w:rPr>
          <w:rFonts w:ascii="Calibri" w:hAnsi="Calibri" w:eastAsia="Calibri" w:cs="Calibri"/>
          <w:i/>
          <w:iCs/>
          <w:color w:val="000000"/>
          <w:sz w:val="22"/>
          <w:szCs w:val="22"/>
        </w:rPr>
        <w:t xml:space="preserve">Zenodo</w:t>
      </w:r>
      <w:r>
        <w:rPr>
          <w:rFonts w:ascii="Calibri" w:hAnsi="Calibri" w:eastAsia="Calibri" w:cs="Calibri"/>
          <w:color w:val="000000"/>
          <w:sz w:val="22"/>
          <w:szCs w:val="22"/>
        </w:rPr>
        <w:t xml:space="preserve">. https://doi.org/10.5281/zenodo.5561846</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Pitkethley RN, Barnes D</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Bradley J, Dephoff C, Civerolo EL, Gillings MR &amp; Fahy PC (1995) A further outbreak of citrus canker near Darwin.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PE, Groot Crego C, Boyer K, Gaudeul M, Baider C, Richard D, Pruvost O, Roumagnac P, Szurek B, Becker N, Gagnevin L &amp; Rieux A (2021) First historical genome of a crop bacterial pathogen from herbarium specimen: Insights into citrus canker emergence.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e1009714.</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w:t>
      </w:r>
    </w:p>
    <w:p>
      <w:pPr>
        <w:widowControl w:val="on"/>
        <w:pBdr/>
        <w:spacing w:before="220" w:after="220" w:line="240" w:lineRule="auto"/>
        <w:ind w:left="0" w:right="0"/>
        <w:jc w:val="left"/>
      </w:pPr>
      <w:r>
        <w:rPr>
          <w:rFonts w:ascii="Calibri" w:hAnsi="Calibri" w:eastAsia="Calibri" w:cs="Calibri"/>
          <w:color w:val="000000"/>
          <w:sz w:val="22"/>
          <w:szCs w:val="22"/>
        </w:rPr>
        <w:t xml:space="preserve">Centner TJ &amp; Ferreira S (2012) Ability of governments to take actions to confront incursions of diseases – a case study: citrus canker in Florida.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821-8.</w:t>
      </w:r>
    </w:p>
    <w:p>
      <w:pPr>
        <w:widowControl w:val="on"/>
        <w:pBdr/>
        <w:spacing w:before="220" w:after="220" w:line="240" w:lineRule="auto"/>
        <w:ind w:left="0" w:right="0"/>
        <w:jc w:val="left"/>
      </w:pPr>
      <w:r>
        <w:rPr>
          <w:rFonts w:ascii="Calibri" w:hAnsi="Calibri" w:eastAsia="Calibri" w:cs="Calibri"/>
          <w:color w:val="000000"/>
          <w:sz w:val="22"/>
          <w:szCs w:val="22"/>
        </w:rPr>
        <w:t xml:space="preserve">Chen PS, Wang LY, Chen YJ</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Tzeng KC, Chang SC, Chung KR &amp; Lee MH (2012) Understanding cellular defence in kumquat and calamondin to citrus canker caused by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Gell I, Johnson EG, Redondo A &amp; Graham JH (2011) Unstable green fluorescent protein for study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survival on citrus.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977-85.</w:t>
      </w:r>
    </w:p>
    <w:p>
      <w:pPr>
        <w:widowControl w:val="on"/>
        <w:pBdr/>
        <w:spacing w:before="220" w:after="220" w:line="240" w:lineRule="auto"/>
        <w:ind w:left="0" w:right="0"/>
        <w:jc w:val="left"/>
      </w:pPr>
      <w:r>
        <w:rPr>
          <w:rFonts w:ascii="Calibri" w:hAnsi="Calibri" w:eastAsia="Calibri" w:cs="Calibri"/>
          <w:color w:val="000000"/>
          <w:sz w:val="22"/>
          <w:szCs w:val="22"/>
        </w:rPr>
        <w:t xml:space="preserve">Cunniffe NJ, Stutt R, De Simone RE, Gottwald TR &amp; Gilligan CA (2015) Optimising and communicating options for the control of invasive plant disease when there is epidemiological uncertainty.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e1004211.</w:t>
      </w:r>
    </w:p>
    <w:p>
      <w:pPr>
        <w:widowControl w:val="on"/>
        <w:pBdr/>
        <w:spacing w:before="220" w:after="220" w:line="240" w:lineRule="auto"/>
        <w:ind w:left="0" w:right="0"/>
        <w:jc w:val="left"/>
      </w:pPr>
      <w:r>
        <w:rPr>
          <w:rFonts w:ascii="Calibri" w:hAnsi="Calibri" w:eastAsia="Calibri" w:cs="Calibri"/>
          <w:color w:val="000000"/>
          <w:sz w:val="22"/>
          <w:szCs w:val="22"/>
        </w:rPr>
        <w:t xml:space="preserve">Dalla Pria M, Christiano RCS, Furtado EL, Amorim L &amp; Bergamin Filho A( 2006) Effect of temperature and leaf wetness duration on infection of sweet oranges by Asiatic citrus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657-663.</w:t>
      </w:r>
    </w:p>
    <w:p>
      <w:pPr>
        <w:widowControl w:val="on"/>
        <w:pBdr/>
        <w:spacing w:before="220" w:after="220" w:line="240" w:lineRule="auto"/>
        <w:ind w:left="0" w:right="0"/>
        <w:jc w:val="left"/>
      </w:pPr>
      <w:r>
        <w:rPr>
          <w:rFonts w:ascii="Calibri" w:hAnsi="Calibri" w:eastAsia="Calibri" w:cs="Calibri"/>
          <w:color w:val="000000"/>
          <w:sz w:val="22"/>
          <w:szCs w:val="22"/>
        </w:rPr>
        <w:t xml:space="preserve">Del Campo R, Russi P, Mara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enters the VBNC state after copper treatment and retains its virulence.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298</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Derso E, Vernière C &amp; Pruvost O (2009)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-A* causing citrus canker on lime in Ethiopia.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203.</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(1916) The origin and cause of citrus canker in South Africa. </w:t>
      </w:r>
      <w:r>
        <w:rPr>
          <w:rFonts w:ascii="Calibri" w:hAnsi="Calibri" w:eastAsia="Calibri" w:cs="Calibri"/>
          <w:i/>
          <w:iCs/>
          <w:color w:val="000000"/>
          <w:sz w:val="22"/>
          <w:szCs w:val="22"/>
        </w:rPr>
        <w:t xml:space="preserve">Union South Africa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62-96.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Noël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483-96.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Council Regulation (EC) No 1183/2007 of 18 September 2007 amending and updating Regulation (EC) No 1334/2000 setting up a Community regime for the control of exports of dual-use items and technology.</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Jenkins AE (1933) Records of citrus canker from herbarium specimens of the genus Citrus in England and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820-824.</w:t>
      </w:r>
    </w:p>
    <w:p>
      <w:pPr>
        <w:widowControl w:val="on"/>
        <w:pBdr/>
        <w:spacing w:before="220" w:after="220" w:line="240" w:lineRule="auto"/>
        <w:ind w:left="0" w:right="0"/>
        <w:jc w:val="left"/>
      </w:pPr>
      <w:r>
        <w:rPr>
          <w:rFonts w:ascii="Calibri" w:hAnsi="Calibri" w:eastAsia="Calibri" w:cs="Calibri"/>
          <w:color w:val="000000"/>
          <w:sz w:val="22"/>
          <w:szCs w:val="22"/>
        </w:rPr>
        <w:t xml:space="preserve">Gambley CF, Miles AK, Ramsden M, Doogan V, Thomas JE, Parmenter K &amp; Whittle PJL (2009) The distribution and spread of citrus canker in Emerald,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547-57.</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(1970) Studies on citrus canker disease. III.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soils and on the surface of weeds.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 3,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(1975a)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1. Detection of the bacterium from a grass (</w:t>
      </w:r>
      <w:r>
        <w:rPr>
          <w:rFonts w:ascii="Calibri" w:hAnsi="Calibri" w:eastAsia="Calibri" w:cs="Calibri"/>
          <w:i/>
          <w:iCs/>
          <w:color w:val="000000"/>
          <w:sz w:val="22"/>
          <w:szCs w:val="22"/>
        </w:rPr>
        <w:t xml:space="preserve">Zoysia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(1975b)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2. Longevity and survival density of the bacterium on artificially infested weeds, plant residues and soil.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141-147.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Graham JH (1992) A device for precise and nondisruptive stomatal inoculation of leaf tissue with bacterial pathogens.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930-935.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Bock C, Bonn G, Civerolo EL, Irey, M, Leite R, McCollum G, Parker P, Ramallo J, Riley T, Schubert T, Stein B &amp; Taylor E (2009) The epidemiological significance of post-packinghouse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 dissemination of Asiatic citrus canker via infected fruit.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508-524.</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73167844b4c20c85"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Irey M (2007) Post-hurricane analysis of citrus canker II: Predictive model estimation of disease spread and area potentially impacted by various eradication protocols following catastrophic weather events. </w:t>
      </w:r>
      <w:r>
        <w:rPr>
          <w:rFonts w:ascii="Calibri" w:hAnsi="Calibri" w:eastAsia="Calibri" w:cs="Calibri"/>
          <w:i/>
          <w:iCs/>
          <w:color w:val="000000"/>
          <w:sz w:val="22"/>
          <w:szCs w:val="22"/>
        </w:rPr>
        <w:t xml:space="preserve">Plant Health Progress. </w:t>
      </w:r>
      <w:hyperlink r:id="rId346467844b4c20cd1" w:history="1">
        <w:r>
          <w:rPr>
            <w:rFonts w:ascii="Calibri" w:hAnsi="Calibri" w:eastAsia="Calibri" w:cs="Calibri"/>
            <w:color w:val="0000CC"/>
            <w:sz w:val="22"/>
            <w:szCs w:val="22"/>
            <w:u w:val="single"/>
          </w:rPr>
          <w:t xml:space="preserve">https://doi.org/doi:10.1094/PHP-2007-0405-01-RS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(Xcc)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CJ, Wu TL, Zheng PX, Ou JY, Ni HF &amp; Lin YC (2021) Comparative genomic analysis uncovered evolution of pathogenicity factors, horizontal gene transfer events, and heavy metal resistance traits in citrus canker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731711.</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Kim HJ, Yi PH, Hwang RY &amp; Park EW (2012) Mode of action of streptomycin resistance in the citrus canker pathogen (</w:t>
      </w:r>
      <w:r>
        <w:rPr>
          <w:rFonts w:ascii="Calibri" w:hAnsi="Calibri" w:eastAsia="Calibri" w:cs="Calibri"/>
          <w:i/>
          <w:iCs/>
          <w:color w:val="000000"/>
          <w:sz w:val="22"/>
          <w:szCs w:val="22"/>
        </w:rPr>
        <w:t xml:space="preserve">Xanthomonas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Jeju Island.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207-211.</w:t>
      </w:r>
    </w:p>
    <w:p>
      <w:pPr>
        <w:widowControl w:val="on"/>
        <w:pBdr/>
        <w:spacing w:before="220" w:after="220" w:line="240" w:lineRule="auto"/>
        <w:ind w:left="0" w:right="0"/>
        <w:jc w:val="left"/>
      </w:pPr>
      <w:r>
        <w:rPr>
          <w:rFonts w:ascii="Calibri" w:hAnsi="Calibri" w:eastAsia="Calibri" w:cs="Calibri"/>
          <w:color w:val="000000"/>
          <w:sz w:val="22"/>
          <w:szCs w:val="22"/>
        </w:rPr>
        <w:t xml:space="preserve">Irey M, Gottwald TR, Graham JH, Riley TD &amp; Carlton G (2006) Post-hurricane analysis of citrus canker spread and progress towards the development of a predictive model to estimate disease spread due to catastrophic weather events. </w:t>
      </w:r>
      <w:r>
        <w:rPr>
          <w:rFonts w:ascii="Calibri" w:hAnsi="Calibri" w:eastAsia="Calibri" w:cs="Calibri"/>
          <w:i/>
          <w:iCs/>
          <w:color w:val="000000"/>
          <w:sz w:val="22"/>
          <w:szCs w:val="22"/>
        </w:rPr>
        <w:t xml:space="preserve">Plant Health Progress. </w:t>
      </w:r>
      <w:hyperlink r:id="rId106567844b4c20fd2" w:history="1">
        <w:r>
          <w:rPr>
            <w:rFonts w:ascii="Calibri" w:hAnsi="Calibri" w:eastAsia="Calibri" w:cs="Calibri"/>
            <w:color w:val="0000CC"/>
            <w:sz w:val="22"/>
            <w:szCs w:val="22"/>
            <w:u w:val="single"/>
          </w:rPr>
          <w:t xml:space="preserve">https://doi.org/10.1094/PHP-2006-0822-01-RS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Jalan N, Yan Q, Kogenaru 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Guo Y, Jones JB, Graham JH &amp; Wang N (2014)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related species. In: Gross DC, Lichens-Park A, Kole C, eds. </w:t>
      </w:r>
      <w:r>
        <w:rPr>
          <w:rFonts w:ascii="Calibri" w:hAnsi="Calibri" w:eastAsia="Calibri" w:cs="Calibri"/>
          <w:i/>
          <w:iCs/>
          <w:color w:val="000000"/>
          <w:sz w:val="22"/>
          <w:szCs w:val="22"/>
        </w:rPr>
        <w:t xml:space="preserve">Genomics of Plant-Associated Bacteria.</w:t>
      </w:r>
      <w:r>
        <w:rPr>
          <w:rFonts w:ascii="Calibri" w:hAnsi="Calibri" w:eastAsia="Calibri" w:cs="Calibri"/>
          <w:color w:val="000000"/>
          <w:sz w:val="22"/>
          <w:szCs w:val="22"/>
        </w:rPr>
        <w:t xml:space="preserve"> Berlin Heidelberg, Germany: Springer-Verlag, 151-176. </w:t>
      </w:r>
    </w:p>
    <w:p>
      <w:pPr>
        <w:widowControl w:val="on"/>
        <w:pBdr/>
        <w:spacing w:before="220" w:after="220" w:line="240" w:lineRule="auto"/>
        <w:ind w:left="0" w:right="0"/>
        <w:jc w:val="left"/>
      </w:pPr>
      <w:r>
        <w:rPr>
          <w:rFonts w:ascii="Calibri" w:hAnsi="Calibri" w:eastAsia="Calibri" w:cs="Calibri"/>
          <w:color w:val="000000"/>
          <w:sz w:val="22"/>
          <w:szCs w:val="22"/>
        </w:rPr>
        <w:t xml:space="preserve">Khalaf A, Moore GA, Jones JB &amp; Gmitter FG (2007) New insights into the resistance of Nagami kumquat to canker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(1976) Incubation period of citrus canker in relation to temperature.</w:t>
      </w:r>
      <w:r>
        <w:rPr>
          <w:rFonts w:ascii="Calibri" w:hAnsi="Calibri" w:eastAsia="Calibri" w:cs="Calibri"/>
          <w:i/>
          <w:iCs/>
          <w:color w:val="000000"/>
          <w:sz w:val="22"/>
          <w:szCs w:val="22"/>
        </w:rPr>
        <w:t xml:space="preserve"> Bulletin of the Fruit Tree Research Station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B, 3</w:t>
      </w:r>
      <w:r>
        <w:rPr>
          <w:rFonts w:ascii="Calibri" w:hAnsi="Calibri" w:eastAsia="Calibri" w:cs="Calibri"/>
          <w:color w:val="000000"/>
          <w:sz w:val="22"/>
          <w:szCs w:val="22"/>
        </w:rPr>
        <w:t xml:space="preserve">, 33-46.</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(1978) Resistance of Citrus plants to bacterial canker disease. </w:t>
      </w:r>
      <w:r>
        <w:rPr>
          <w:rFonts w:ascii="Calibri" w:hAnsi="Calibri" w:eastAsia="Calibri" w:cs="Calibri"/>
          <w:i/>
          <w:iCs/>
          <w:color w:val="000000"/>
          <w:sz w:val="22"/>
          <w:szCs w:val="22"/>
        </w:rPr>
        <w:t xml:space="preserve">Shokubutsu Boeki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207-11.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(1979) Ultrastructural changes in susceptible and resistant plants of Citrus following artificial inoculation with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Dowson.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635-44.</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(1981) Resistance of citrus plants to bacterial canker disease :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402-405.</w:t>
      </w:r>
    </w:p>
    <w:p>
      <w:pPr>
        <w:widowControl w:val="on"/>
        <w:pBdr/>
        <w:spacing w:before="220" w:after="220" w:line="240" w:lineRule="auto"/>
        <w:ind w:left="0" w:right="0"/>
        <w:jc w:val="left"/>
      </w:pPr>
      <w:r>
        <w:rPr>
          <w:rFonts w:ascii="Calibri" w:hAnsi="Calibri" w:eastAsia="Calibri" w:cs="Calibri"/>
          <w:color w:val="000000"/>
          <w:sz w:val="22"/>
          <w:szCs w:val="22"/>
        </w:rPr>
        <w:t xml:space="preserve">Kuhara S (1978) Present epidemic status and control of the citrus canker disease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Japan.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Lee HA (1918) Further data on the susceptibility of rutaceous plants to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661-665.</w:t>
      </w:r>
    </w:p>
    <w:p>
      <w:pPr>
        <w:widowControl w:val="on"/>
        <w:pBdr/>
        <w:spacing w:before="220" w:after="220" w:line="240" w:lineRule="auto"/>
        <w:ind w:left="0" w:right="0"/>
        <w:jc w:val="left"/>
      </w:pPr>
      <w:r>
        <w:rPr>
          <w:rFonts w:ascii="Calibri" w:hAnsi="Calibri" w:eastAsia="Calibri" w:cs="Calibri"/>
          <w:color w:val="000000"/>
          <w:sz w:val="22"/>
          <w:szCs w:val="22"/>
        </w:rPr>
        <w:t xml:space="preserve">Leite JRP &amp; Mohan SK (1987)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Dye in soil and in association with some gramineous plants.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Sao Paulo, Brazil,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Munoz Bodnar A, Santillana G, Mavrodieva V, Liu Z, Nakhla M &amp; Gabriel DW (2017) Complete genome sequences of three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strains from Texas.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e00609-17.</w:t>
      </w:r>
    </w:p>
    <w:p>
      <w:pPr>
        <w:widowControl w:val="on"/>
        <w:pBdr/>
        <w:spacing w:before="220" w:after="220" w:line="240" w:lineRule="auto"/>
        <w:ind w:left="0" w:right="0"/>
        <w:jc w:val="left"/>
      </w:pPr>
      <w:r>
        <w:rPr>
          <w:rFonts w:ascii="Calibri" w:hAnsi="Calibri" w:eastAsia="Calibri" w:cs="Calibri"/>
          <w:color w:val="000000"/>
          <w:sz w:val="22"/>
          <w:szCs w:val="22"/>
        </w:rPr>
        <w:t xml:space="preserve">Parnell S, Gottwald TR, Van Den Bosch F &amp; Gilligan CA (2009) Optimal strategies for the eradication of Asiatic citrus canker in heterogeneous host landscapes.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Patane JSL, Martins J, Jr., Rangel LT, Belasque J, Digiampietri LA, Facincani AP, Ferreira RM, Jaciani FJ, Zhang Y, Varani AM, Almeida NF, Wang N, Ferro JA, Moreira LM &amp; Setubal JC (2019) Origin and diversification of Xanthomonas citri subsp. citri 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700.</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Boher B, Brocherieux C, Nicole M &amp; Chiroleu F (2002) Survival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leaf lesions under tropical environmental conditions and simulated splash dispersal of inoculum.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336-346.</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Goodarzi T, Boyer K, Soltaninejad H, Escalon A, Alavi SM, Javegny S, Boyer C, Cottyn B, Gagnevin L &amp; Vernière C (2015) Genetic structure analysis of strains causing citrus canker in Iran reveals the presence of two different lineages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776-84.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(1997) Sources of resistance to bacterial canker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80-81.</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Boyer C, Javegny S, Boyer K, Grygiel P, Pruvost O, Rioualec AL, Rakotobe V, Iotti J, Picard R, Vernière C, Audusseau C, François C, Olivier V, Moreau A &amp; Chabirand A (2016)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Martinique,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1946.</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Tribot N, Boyer C</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Terville M, Boyer K, Javegny S, Roux-Cuvelier M, Pruvost O, Moreau A, Chabirand A &amp; Vernière C (2017) First report of copper-resistant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Réunion,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503.</w:t>
      </w:r>
    </w:p>
    <w:p>
      <w:pPr>
        <w:widowControl w:val="on"/>
        <w:pBdr/>
        <w:spacing w:before="220" w:after="220" w:line="240" w:lineRule="auto"/>
        <w:ind w:left="0" w:right="0"/>
        <w:jc w:val="left"/>
      </w:pPr>
      <w:r>
        <w:rPr>
          <w:rFonts w:ascii="Calibri" w:hAnsi="Calibri" w:eastAsia="Calibri" w:cs="Calibri"/>
          <w:color w:val="000000"/>
          <w:sz w:val="22"/>
          <w:szCs w:val="22"/>
        </w:rPr>
        <w:t xml:space="preserve">Rigano LA, Siciliano F, Enrique R, Sendin L, Filippone P,Torres PS, Questa J, Dow, JM, Castagnaro AP, Vojnov AA &amp; Marano MR (2007) Biofilm formation, epiphytic fitness, and canker development in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1222-30.</w:t>
      </w:r>
    </w:p>
    <w:p>
      <w:pPr>
        <w:widowControl w:val="on"/>
        <w:pBdr/>
        <w:spacing w:before="220" w:after="220" w:line="240" w:lineRule="auto"/>
        <w:ind w:left="0" w:right="0"/>
        <w:jc w:val="left"/>
      </w:pPr>
      <w:r>
        <w:rPr>
          <w:rFonts w:ascii="Calibri" w:hAnsi="Calibri" w:eastAsia="Calibri" w:cs="Calibri"/>
          <w:color w:val="000000"/>
          <w:sz w:val="22"/>
          <w:szCs w:val="22"/>
        </w:rPr>
        <w:t xml:space="preserve">Rybak M, Minsavage GV, Stall RE &amp; Jones JB (2009) Identification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host specificity genes in a heterologous expression host.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249-62.</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Inoue K &amp; Goto M (1969) Studies on citrus canker disease. I. Dispersal of the citrus canker organism.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Miller JW &amp; Canteros De Echenique BI (1980) Population dynamics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causing cancrosis of citrus in Argentina.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10-4.</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&amp; Seymour CP (1983) Canker, a threat to Citrus in the Gulf-coast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581-585.</w:t>
      </w:r>
    </w:p>
    <w:p>
      <w:pPr>
        <w:widowControl w:val="on"/>
        <w:pBdr/>
        <w:spacing w:before="220" w:after="220" w:line="240" w:lineRule="auto"/>
        <w:ind w:left="0" w:right="0"/>
        <w:jc w:val="left"/>
      </w:pPr>
      <w:r>
        <w:rPr>
          <w:rFonts w:ascii="Calibri" w:hAnsi="Calibri" w:eastAsia="Calibri" w:cs="Calibri"/>
          <w:color w:val="000000"/>
          <w:sz w:val="22"/>
          <w:szCs w:val="22"/>
        </w:rPr>
        <w:t xml:space="preserve">Stover E, Driggers R, Richardson ML, Hall DG, Duan YP &amp; Lee RF (2014) Incidence and severity of Asiatic citrus canker on diverse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germplasm in a Florida field planting.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Zitko SE, &amp; Gottwald TR (1996) Population dynamics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on symptomatic and asymptomatic citrus leaves under various environmental conditions. In: Manicom B, Robinson J, Du Plessis SF, Joubert P, Van Zyl JL, Du Preez S, eds.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Sun City, vpl. 1, 448-51.</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Gottwald TR &amp; Pruvost O (2003) Disease development and symptom expression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various citrus plant tissues.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832-843.</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from Southwest Asia.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Bogema D &amp; Chapman TA (2020) Comparative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 reveals three distinct clades with varying plasmid distribution.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1947.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Allen C, Coutinho T, Denny T, Elphinstone J, Fegan M, Gillings M, Gottwald TR, Graham JH, Iacobellis NS, Janse JD, Jacques MA, Lopez MM, Morris CE, Parkinson N, Prior P, Pruvos, O, Neto JR, Scortichini M, Takikawa Y &amp; Upper CD (2008) Plant pathogenic bacteria as biological weapons: real threats?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1060-1065.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Olivier Pruvost of CIRAD (French Agricultural Research Centre for International Development).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citri</w:t>
      </w:r>
      <w:r>
        <w:rPr>
          <w:rFonts w:ascii="Calibri" w:hAnsi="Calibri" w:eastAsia="Calibri" w:cs="Calibri"/>
          <w:color w:val="000000"/>
          <w:sz w:val="22"/>
          <w:szCs w:val="22"/>
        </w:rPr>
        <w:t xml:space="preserve">. EPPO datasheets on pests recommended for regulation. Available online. </w:t>
      </w:r>
      <w:hyperlink r:id="rId495767844b4c21e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3-7.  </w:t>
      </w:r>
      <w:hyperlink r:id="rId544667844b4c2206c" w:history="1">
        <w:r>
          <w:rPr>
            <w:rFonts w:ascii="Calibri" w:hAnsi="Calibri" w:eastAsia="Calibri" w:cs="Calibri"/>
            <w:color w:val="0000CC"/>
            <w:sz w:val="22"/>
            <w:szCs w:val="22"/>
            <w:u w:val="single"/>
          </w:rPr>
          <w:t xml:space="preserve">https://doi.org/10.1111/j.1365-2338.1979.tb02444.x</w:t>
        </w:r>
      </w:hyperlink>
      <w:r>
        <w:rPr>
          <w:rFonts w:ascii="Calibri" w:hAnsi="Calibri" w:eastAsia="Calibri" w:cs="Calibri"/>
          <w:color w:val="000000"/>
          <w:sz w:val="22"/>
          <w:szCs w:val="22"/>
        </w:rPr>
        <w:t xml:space="preserve"> </w:t>
      </w:r>
    </w:p>
    <w:p>
      <w:r>
        <w:drawing>
          <wp:inline distT="0" distB="0" distL="0" distR="0">
            <wp:extent cx="1800000" cy="604800"/>
            <wp:docPr id="56903023" name="name823367844b4c220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8267844b4c220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750265">
    <w:multiLevelType w:val="hybridMultilevel"/>
    <w:lvl w:ilvl="0" w:tplc="14668626">
      <w:start w:val="1"/>
      <w:numFmt w:val="decimal"/>
      <w:lvlText w:val="%1."/>
      <w:lvlJc w:val="left"/>
      <w:pPr>
        <w:ind w:left="720" w:hanging="360"/>
      </w:pPr>
    </w:lvl>
    <w:lvl w:ilvl="1" w:tplc="14668626" w:tentative="1">
      <w:start w:val="1"/>
      <w:numFmt w:val="lowerLetter"/>
      <w:lvlText w:val="%2."/>
      <w:lvlJc w:val="left"/>
      <w:pPr>
        <w:ind w:left="1440" w:hanging="360"/>
      </w:pPr>
    </w:lvl>
    <w:lvl w:ilvl="2" w:tplc="14668626" w:tentative="1">
      <w:start w:val="1"/>
      <w:numFmt w:val="lowerRoman"/>
      <w:lvlText w:val="%3."/>
      <w:lvlJc w:val="right"/>
      <w:pPr>
        <w:ind w:left="2160" w:hanging="180"/>
      </w:pPr>
    </w:lvl>
    <w:lvl w:ilvl="3" w:tplc="14668626" w:tentative="1">
      <w:start w:val="1"/>
      <w:numFmt w:val="decimal"/>
      <w:lvlText w:val="%4."/>
      <w:lvlJc w:val="left"/>
      <w:pPr>
        <w:ind w:left="2880" w:hanging="360"/>
      </w:pPr>
    </w:lvl>
    <w:lvl w:ilvl="4" w:tplc="14668626" w:tentative="1">
      <w:start w:val="1"/>
      <w:numFmt w:val="lowerLetter"/>
      <w:lvlText w:val="%5."/>
      <w:lvlJc w:val="left"/>
      <w:pPr>
        <w:ind w:left="3600" w:hanging="360"/>
      </w:pPr>
    </w:lvl>
    <w:lvl w:ilvl="5" w:tplc="14668626" w:tentative="1">
      <w:start w:val="1"/>
      <w:numFmt w:val="lowerRoman"/>
      <w:lvlText w:val="%6."/>
      <w:lvlJc w:val="right"/>
      <w:pPr>
        <w:ind w:left="4320" w:hanging="180"/>
      </w:pPr>
    </w:lvl>
    <w:lvl w:ilvl="6" w:tplc="14668626" w:tentative="1">
      <w:start w:val="1"/>
      <w:numFmt w:val="decimal"/>
      <w:lvlText w:val="%7."/>
      <w:lvlJc w:val="left"/>
      <w:pPr>
        <w:ind w:left="5040" w:hanging="360"/>
      </w:pPr>
    </w:lvl>
    <w:lvl w:ilvl="7" w:tplc="14668626" w:tentative="1">
      <w:start w:val="1"/>
      <w:numFmt w:val="lowerLetter"/>
      <w:lvlText w:val="%8."/>
      <w:lvlJc w:val="left"/>
      <w:pPr>
        <w:ind w:left="5760" w:hanging="360"/>
      </w:pPr>
    </w:lvl>
    <w:lvl w:ilvl="8" w:tplc="14668626" w:tentative="1">
      <w:start w:val="1"/>
      <w:numFmt w:val="lowerRoman"/>
      <w:lvlText w:val="%9."/>
      <w:lvlJc w:val="right"/>
      <w:pPr>
        <w:ind w:left="6480" w:hanging="180"/>
      </w:pPr>
    </w:lvl>
  </w:abstractNum>
  <w:abstractNum w:abstractNumId="18228854">
    <w:multiLevelType w:val="hybridMultilevel"/>
    <w:lvl w:ilvl="0" w:tplc="65359374">
      <w:start w:val="1"/>
      <w:numFmt w:val="decimal"/>
      <w:lvlText w:val="%1."/>
      <w:lvlJc w:val="left"/>
      <w:pPr>
        <w:ind w:left="720" w:hanging="360"/>
      </w:pPr>
    </w:lvl>
    <w:lvl w:ilvl="1" w:tplc="65359374" w:tentative="1">
      <w:start w:val="1"/>
      <w:numFmt w:val="lowerLetter"/>
      <w:lvlText w:val="%2."/>
      <w:lvlJc w:val="left"/>
      <w:pPr>
        <w:ind w:left="1440" w:hanging="360"/>
      </w:pPr>
    </w:lvl>
    <w:lvl w:ilvl="2" w:tplc="65359374" w:tentative="1">
      <w:start w:val="1"/>
      <w:numFmt w:val="lowerRoman"/>
      <w:lvlText w:val="%3."/>
      <w:lvlJc w:val="right"/>
      <w:pPr>
        <w:ind w:left="2160" w:hanging="180"/>
      </w:pPr>
    </w:lvl>
    <w:lvl w:ilvl="3" w:tplc="65359374" w:tentative="1">
      <w:start w:val="1"/>
      <w:numFmt w:val="decimal"/>
      <w:lvlText w:val="%4."/>
      <w:lvlJc w:val="left"/>
      <w:pPr>
        <w:ind w:left="2880" w:hanging="360"/>
      </w:pPr>
    </w:lvl>
    <w:lvl w:ilvl="4" w:tplc="65359374" w:tentative="1">
      <w:start w:val="1"/>
      <w:numFmt w:val="lowerLetter"/>
      <w:lvlText w:val="%5."/>
      <w:lvlJc w:val="left"/>
      <w:pPr>
        <w:ind w:left="3600" w:hanging="360"/>
      </w:pPr>
    </w:lvl>
    <w:lvl w:ilvl="5" w:tplc="65359374" w:tentative="1">
      <w:start w:val="1"/>
      <w:numFmt w:val="lowerRoman"/>
      <w:lvlText w:val="%6."/>
      <w:lvlJc w:val="right"/>
      <w:pPr>
        <w:ind w:left="4320" w:hanging="180"/>
      </w:pPr>
    </w:lvl>
    <w:lvl w:ilvl="6" w:tplc="65359374" w:tentative="1">
      <w:start w:val="1"/>
      <w:numFmt w:val="decimal"/>
      <w:lvlText w:val="%7."/>
      <w:lvlJc w:val="left"/>
      <w:pPr>
        <w:ind w:left="5040" w:hanging="360"/>
      </w:pPr>
    </w:lvl>
    <w:lvl w:ilvl="7" w:tplc="65359374" w:tentative="1">
      <w:start w:val="1"/>
      <w:numFmt w:val="lowerLetter"/>
      <w:lvlText w:val="%8."/>
      <w:lvlJc w:val="left"/>
      <w:pPr>
        <w:ind w:left="5760" w:hanging="360"/>
      </w:pPr>
    </w:lvl>
    <w:lvl w:ilvl="8" w:tplc="65359374" w:tentative="1">
      <w:start w:val="1"/>
      <w:numFmt w:val="lowerRoman"/>
      <w:lvlText w:val="%9."/>
      <w:lvlJc w:val="right"/>
      <w:pPr>
        <w:ind w:left="6480" w:hanging="180"/>
      </w:pPr>
    </w:lvl>
  </w:abstractNum>
  <w:abstractNum w:abstractNumId="18228853">
    <w:multiLevelType w:val="hybridMultilevel"/>
    <w:lvl w:ilvl="0" w:tplc="135094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228853">
    <w:abstractNumId w:val="18228853"/>
  </w:num>
  <w:num w:numId="18228854">
    <w:abstractNumId w:val="18228854"/>
  </w:num>
  <w:num w:numId="869750265">
    <w:abstractNumId w:val="8697502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5269511" Type="http://schemas.microsoft.com/office/2011/relationships/commentsExtended" Target="commentsExtended.xml"/><Relationship Id="rId144501991" Type="http://schemas.microsoft.com/office/2011/relationships/people" Target="people.xml"/><Relationship Id="rId650467844b4c1c1cf" Type="http://schemas.openxmlformats.org/officeDocument/2006/relationships/hyperlink" Target="https://gd.eppo.int/taxon/XANTCI/" TargetMode="External"/><Relationship Id="rId997567844b4c1c23c" Type="http://schemas.openxmlformats.org/officeDocument/2006/relationships/hyperlink" Target="https://gd.eppo.int/taxon/XANTCI/categorization" TargetMode="External"/><Relationship Id="rId592167844b4c1cb58" Type="http://schemas.openxmlformats.org/officeDocument/2006/relationships/hyperlink" Target="https://gd.eppo.int/taxon/XANTCI/photos" TargetMode="External"/><Relationship Id="rId973167844b4c20c85" Type="http://schemas.openxmlformats.org/officeDocument/2006/relationships/hyperlink" Target="https://doi.org/10.1094/PHP-2002-0812-01-RV" TargetMode="External"/><Relationship Id="rId346467844b4c20cd1" Type="http://schemas.openxmlformats.org/officeDocument/2006/relationships/hyperlink" Target="https://doi.org/doi:10.1094/PHP-2007-0405-01-RS" TargetMode="External"/><Relationship Id="rId106567844b4c20fd2" Type="http://schemas.openxmlformats.org/officeDocument/2006/relationships/hyperlink" Target="https://doi.org/10.1094/PHP-2006-0822-01-RS" TargetMode="External"/><Relationship Id="rId495767844b4c21efd" Type="http://schemas.openxmlformats.org/officeDocument/2006/relationships/hyperlink" Target="https://gd.eppo.int" TargetMode="External"/><Relationship Id="rId544667844b4c2206c" Type="http://schemas.openxmlformats.org/officeDocument/2006/relationships/hyperlink" Target="https://doi.org/10.1111/j.1365-2338.1979.tb02444.x" TargetMode="External"/><Relationship Id="rId906967844b4c1ca72" Type="http://schemas.openxmlformats.org/officeDocument/2006/relationships/image" Target="media/imgrId906967844b4c1ca72.jpg"/><Relationship Id="rId147667844b4c1e86c" Type="http://schemas.openxmlformats.org/officeDocument/2006/relationships/image" Target="media/imgrId147667844b4c1e86c.jpg"/><Relationship Id="rId138267844b4c220d5" Type="http://schemas.openxmlformats.org/officeDocument/2006/relationships/image" Target="media/imgrId138267844b4c220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