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(Hasse) Constantin, Cleenwerck, Maes, Baeyen, Van Malderghem, De Vos, Cottyn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axonopodis pv. citri</w:t>
            </w:r>
            <w:r>
              <w:rPr>
                <w:rFonts w:ascii="Calibri" w:hAnsi="Calibri" w:eastAsia="Calibri" w:cs="Calibri"/>
                <w:color w:val="000000"/>
                <w:position w:val="-3"/>
                <w:sz w:val="22"/>
                <w:szCs w:val="22"/>
              </w:rPr>
              <w:t xml:space="preserve"> (Hasse) Vauterin, Hoste, Kersters &amp; Swings, </w:t>
            </w:r>
            <w:r>
              <w:rPr>
                <w:rFonts w:ascii="Calibri" w:hAnsi="Calibri" w:eastAsia="Calibri" w:cs="Calibri"/>
                <w:i/>
                <w:iCs/>
                <w:color w:val="000000"/>
                <w:position w:val="-3"/>
                <w:sz w:val="22"/>
                <w:szCs w:val="22"/>
              </w:rPr>
              <w:t xml:space="preserve">Xanthomonas campestris pv. citri</w:t>
            </w:r>
            <w:r>
              <w:rPr>
                <w:rFonts w:ascii="Calibri" w:hAnsi="Calibri" w:eastAsia="Calibri" w:cs="Calibri"/>
                <w:color w:val="000000"/>
                <w:position w:val="-3"/>
                <w:sz w:val="22"/>
                <w:szCs w:val="22"/>
              </w:rPr>
              <w:t xml:space="preserve"> (Hasse) Dye, </w:t>
            </w:r>
            <w:r>
              <w:rPr>
                <w:rFonts w:ascii="Calibri" w:hAnsi="Calibri" w:eastAsia="Calibri" w:cs="Calibri"/>
                <w:i/>
                <w:iCs/>
                <w:color w:val="000000"/>
                <w:position w:val="-3"/>
                <w:sz w:val="22"/>
                <w:szCs w:val="22"/>
              </w:rPr>
              <w:t xml:space="preserve">Xanthomonas citri subsp. citri</w:t>
            </w:r>
            <w:r>
              <w:rPr>
                <w:rFonts w:ascii="Calibri" w:hAnsi="Calibri" w:eastAsia="Calibri" w:cs="Calibri"/>
                <w:color w:val="000000"/>
                <w:position w:val="-3"/>
                <w:sz w:val="22"/>
                <w:szCs w:val="22"/>
              </w:rPr>
              <w:t xml:space="preserve"> (ex Hasse) Gabriel, Kingsley, Hunter &amp; Gottwald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Asiatic canker, Asiatic citrus canker (A strains), bacterial canker of citrus, cancrosis A (A strains), citrus canker</w:t>
            </w:r>
            <w:hyperlink r:id="rId1927669e8111d290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362669e8111d297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7117933" name="name3745669e8111d3130" descr="1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6.jpg"/>
                          <pic:cNvPicPr/>
                        </pic:nvPicPr>
                        <pic:blipFill>
                          <a:blip r:embed="rId4850669e8111d312e" cstate="print"/>
                          <a:stretch>
                            <a:fillRect/>
                          </a:stretch>
                        </pic:blipFill>
                        <pic:spPr>
                          <a:xfrm>
                            <a:off x="0" y="0"/>
                            <a:ext cx="2160000" cy="1281600"/>
                          </a:xfrm>
                          <a:prstGeom prst="rect">
                            <a:avLst/>
                          </a:prstGeom>
                          <a:ln w="0">
                            <a:noFill/>
                          </a:ln>
                        </pic:spPr>
                      </pic:pic>
                    </a:graphicData>
                  </a:graphic>
                </wp:inline>
              </w:drawing>
            </w:r>
            <w:hyperlink r:id="rId5401669e8111d329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Three infra-pathovar groups, which differ in pathogenicity are referred to as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Rybak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Pathotype A strains overall have the greatest impact on citrus crops. They induce natural canker infections on a broad range of rutaceous species, including nearly all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cultivars, hybrids as well as members of the following genera: </w:t>
      </w:r>
      <w:r>
        <w:rPr>
          <w:rFonts w:ascii="Calibri" w:hAnsi="Calibri" w:eastAsia="Calibri" w:cs="Calibri"/>
          <w:i/>
          <w:iCs/>
          <w:color w:val="000000"/>
          <w:sz w:val="22"/>
          <w:szCs w:val="22"/>
        </w:rPr>
        <w:t xml:space="preserve">Casimiroa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w:t>
      </w:r>
      <w:r>
        <w:rPr>
          <w:rFonts w:ascii="Calibri" w:hAnsi="Calibri" w:eastAsia="Calibri" w:cs="Calibri"/>
          <w:color w:val="000000"/>
          <w:sz w:val="22"/>
          <w:szCs w:val="22"/>
        </w:rPr>
        <w:t xml:space="preserve">now syn.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Hesperethusa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Poncirus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Aegle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Zanthoxylum</w:t>
      </w:r>
      <w:r>
        <w:rPr>
          <w:rFonts w:ascii="Calibri" w:hAnsi="Calibri" w:eastAsia="Calibri" w:cs="Calibri"/>
          <w:color w:val="000000"/>
          <w:sz w:val="22"/>
          <w:szCs w:val="22"/>
        </w:rPr>
        <w:t xml:space="preserve">, but incongruent reports were sometimes produced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Koizumi, 1978, Koizumi, 1981, Lee, 1918, Reddy, 1997, Stover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Pathotype A* strains are pathogenic to a restricted range of citrus species. Most outbreaks were primarily reported on Mexican lime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aurantiifolia</w:t>
      </w:r>
      <w:r>
        <w:rPr>
          <w:rFonts w:ascii="Calibri" w:hAnsi="Calibri" w:eastAsia="Calibri" w:cs="Calibri"/>
          <w:color w:val="000000"/>
          <w:sz w:val="22"/>
          <w:szCs w:val="22"/>
        </w:rPr>
        <w:t xml:space="preserve">) and to a lesser extent on relatives such as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or Tahiti (or Persian) lime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Unique A* strains reported from Iran rarely cause mild natural infections on a few other species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Some strains can produce mild canker-like lesions when artificially inoculated to tested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other than lime (Derso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Escalon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Pathotype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strains present a host range restricted to Mexican lime and the related alemow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macrophylla</w:t>
      </w:r>
      <w:r>
        <w:rPr>
          <w:rFonts w:ascii="Calibri" w:hAnsi="Calibri" w:eastAsia="Calibri" w:cs="Calibri"/>
          <w:color w:val="000000"/>
          <w:sz w:val="22"/>
          <w:szCs w:val="22"/>
        </w:rPr>
        <w:t xml:space="preserve">)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Munoz Bodnar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When considering natural infections, it is to be noted that all pathotypes affect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aurantiifolia. </w:t>
      </w:r>
      <w:r>
        <w:rPr>
          <w:rFonts w:ascii="Calibri" w:hAnsi="Calibri" w:eastAsia="Calibri" w:cs="Calibri"/>
          <w:color w:val="000000"/>
          <w:sz w:val="22"/>
          <w:szCs w:val="22"/>
        </w:rPr>
        <w:t xml:space="preserve">Pathotypes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affect</w:t>
      </w:r>
      <w:r>
        <w:rPr>
          <w:rFonts w:ascii="Calibri" w:hAnsi="Calibri" w:eastAsia="Calibri" w:cs="Calibri"/>
          <w:i/>
          <w:iCs/>
          <w:color w:val="000000"/>
          <w:sz w:val="22"/>
          <w:szCs w:val="22"/>
        </w:rPr>
        <w:t xml:space="preserve"> 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macrophylla </w:t>
      </w:r>
      <w:r>
        <w:rPr>
          <w:rFonts w:ascii="Calibri" w:hAnsi="Calibri" w:eastAsia="Calibri" w:cs="Calibri"/>
          <w:color w:val="000000"/>
          <w:sz w:val="22"/>
          <w:szCs w:val="22"/>
        </w:rPr>
        <w:t xml:space="preserve">and pathotypes A and A</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2"/>
          <w:szCs w:val="22"/>
        </w:rPr>
        <w:t xml:space="preserve">affect</w:t>
      </w:r>
      <w:r>
        <w:rPr>
          <w:rFonts w:ascii="Calibri" w:hAnsi="Calibri" w:eastAsia="Calibri" w:cs="Calibri"/>
          <w:i/>
          <w:iCs/>
          <w:color w:val="000000"/>
          <w:sz w:val="22"/>
          <w:szCs w:val="22"/>
        </w:rPr>
        <w:t xml:space="preserve"> C. latifolia</w:t>
      </w:r>
      <w:r>
        <w:rPr>
          <w:rFonts w:ascii="Calibri" w:hAnsi="Calibri" w:eastAsia="Calibri" w:cs="Calibri"/>
          <w:color w:val="000000"/>
          <w:sz w:val="22"/>
          <w:szCs w:val="22"/>
        </w:rPr>
        <w:t xml:space="preserve"> and C</w:t>
      </w:r>
      <w:r>
        <w:rPr>
          <w:rFonts w:ascii="Calibri" w:hAnsi="Calibri" w:eastAsia="Calibri" w:cs="Calibri"/>
          <w:i/>
          <w:iCs/>
          <w:color w:val="000000"/>
          <w:sz w:val="22"/>
          <w:szCs w:val="22"/>
        </w:rPr>
        <w:t xml:space="preserve">. limettioides.</w:t>
      </w:r>
    </w:p>
    <w:p>
      <w:pPr>
        <w:widowControl w:val="on"/>
        <w:pBdr/>
        <w:spacing w:before="220" w:after="220" w:line="240" w:lineRule="auto"/>
        <w:ind w:left="0" w:right="0"/>
        <w:jc w:val="both"/>
      </w:pPr>
      <w:r>
        <w:rPr>
          <w:rFonts w:ascii="Calibri" w:hAnsi="Calibri" w:eastAsia="Calibri" w:cs="Calibri"/>
          <w:color w:val="000000"/>
          <w:sz w:val="22"/>
          <w:szCs w:val="22"/>
        </w:rPr>
        <w:t xml:space="preserve">Pathotype A affects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lines with different levels of susceptibility, some lines of </w:t>
      </w:r>
      <w:r>
        <w:rPr>
          <w:rFonts w:ascii="Calibri" w:hAnsi="Calibri" w:eastAsia="Calibri" w:cs="Calibri"/>
          <w:i/>
          <w:iCs/>
          <w:color w:val="000000"/>
          <w:sz w:val="22"/>
          <w:szCs w:val="22"/>
        </w:rPr>
        <w:t xml:space="preserve">C. japonica</w:t>
      </w:r>
      <w:r>
        <w:rPr>
          <w:rFonts w:ascii="Calibri" w:hAnsi="Calibri" w:eastAsia="Calibri" w:cs="Calibri"/>
          <w:color w:val="000000"/>
          <w:sz w:val="22"/>
          <w:szCs w:val="22"/>
        </w:rPr>
        <w:t xml:space="preserve"> seem immune (Khalaf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whereas others can host natural infections. Pathotype A also affects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 daweana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crenulata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Zanthoxylum ailanthoides </w:t>
      </w:r>
      <w:r>
        <w:rPr>
          <w:rFonts w:ascii="Calibri" w:hAnsi="Calibri" w:eastAsia="Calibri" w:cs="Calibri"/>
          <w:color w:val="000000"/>
          <w:sz w:val="22"/>
          <w:szCs w:val="22"/>
        </w:rPr>
        <w:t xml:space="preserve">but these species were mostly found to be weakly susceptible.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 daweana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crenulata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likely to have originated from the Indian subcontinent, as inferred by phylogeographical analyses (Patane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corresponding to the area from where the oldest diseased herbarium specimens showing canker symptoms were collected (Fawcett &amp; Jenkins, 1933). The disease was first reported in East Asia (Japan) at the end of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(Kuhara, 1978). Geographical expansion out of Asia was recorded starting in the early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(in the USA, South Africa and Australia) but is very likely to have occurred earlier (Hasse, 1915, Doidge, 1916, Broadbent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Some of the outbreaks outside Asia were successfully eradicated. The pathogen subsequently emerged in South America (mid-20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and Africa (early 21</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now widely distributed across many citrus production basins worldwide.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currently absent from the EPPO region. Interceptions of citrus diseased fruit or foliage caused by this pest are recurrently reported at the borders of the European Union (more than 300 interceptions were reported over the last 20 years, EPPO Reporting Service).</w:t>
      </w:r>
    </w:p>
    <w:p>
      <w:r>
        <w:drawing>
          <wp:inline distT="0" distB="0" distL="0" distR="0">
            <wp:extent cx="6120000" cy="3067200"/>
            <wp:docPr id="1273900" name="name3058669e8111d4ee4" descr="XANT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CI_distribution_map.jpg"/>
                    <pic:cNvPicPr/>
                  </pic:nvPicPr>
                  <pic:blipFill>
                    <a:blip r:embed="rId6343669e8111d4ee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Comoros, Ethiopia, Gabon, Mali, Mauritius, Mayotte, Reunion, Senegal, Seychelles, Somalia, Sudan,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Cambodia, China (Chongqing, Fujian, Guangdong, Guangxi, Guizhou, Hubei, Hunan, Jiangsu, Jiangxi, Sichuan, Xianggang (Hong Kong), Yunnan, Zhejiang), Christmas Island, Cocos Islands, East Timor, India (Andaman and Nicobar Islands, Andhra Pradesh, Assam, Gujarat, Haryana, Karnataka, Maharashtra, Punjab, Sikkim, Tamil Nadu, West Bengal), Indonesia (Irian Jaya, Java, Sumatra), Iran, Iraq, Japan (Honshu, Kyushu, Shikoku), Korea Dem. People's Republic, Korea, Republic, Laos, Malaysia (Sabah,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Florida, Georgia, Louisiana,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Martinique,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do Sul, Minas Gerais, Parana, Rio Grande do Norte, Rio Grande do Sul, Roraima, Santa Catarina, Sao Paulo),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Fiji, Guam, Marshall Islands, Micronesia, Northern Mariana Islands, Palau, Papua New Guinea, Solomon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occurs through natural openings (stomata) and wounds, and variations in susceptibility to infection are related to tissue age for a given citrus cultivar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multiplies in the intercellular spaces of the mesophyll (the bacterium is not intracellular) and induces cell enlargement (hypertrophy) and division (hyperplasia) of host cells, eventually producing canker lesions (Brunings &amp; Gabriel, 2003; Jalan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Green, actively growing fruits and young leaves (one-half to two-thirds expansion) are most susceptible to infection. Wounds created by grove maintenance operations, insects (e.g., the citrus leafminer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thorns and wind are highly efficient infection sites which allow infection to occur on older organs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 single cell of</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forced into a stoma may initiate infection (Gottwald &amp; Graham, 1992). When the pathogen is not enforced into stomata by wind pressure and in the absence of wounds, bacterial suspensions containing approximately 10</w:t>
      </w:r>
      <w:r>
        <w:rPr>
          <w:rFonts w:ascii="Calibri" w:hAnsi="Calibri" w:eastAsia="Calibri" w:cs="Calibri"/>
          <w:color w:val="000000"/>
          <w:position w:val="4"/>
          <w:sz w:val="22"/>
          <w:szCs w:val="22"/>
          <w:vertAlign w:val="superscript"/>
        </w:rPr>
        <w:t xml:space="preserve">5</w:t>
      </w:r>
      <w:r>
        <w:rPr>
          <w:rFonts w:ascii="Calibri" w:hAnsi="Calibri" w:eastAsia="Calibri" w:cs="Calibri"/>
          <w:color w:val="000000"/>
          <w:sz w:val="22"/>
          <w:szCs w:val="22"/>
        </w:rPr>
        <w:t xml:space="preserve"> cells/mL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are typically required to induce lesions from spray inoculation (Goto, 1992).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produce lesions at temperatures ranging from 12 to 40°C, with an optimum of 25–35°C (Dalla Pria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Temperature also drives the length of the latency period, which can extend over several weeks (Koizumi, 1976).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survives efficiently in canker lesions, which represent the most biologically significant inoculum source. Live populations in young leaf lesions typically exceed 10</w:t>
      </w:r>
      <w:r>
        <w:rPr>
          <w:rFonts w:ascii="Calibri" w:hAnsi="Calibri" w:eastAsia="Calibri" w:cs="Calibri"/>
          <w:color w:val="000000"/>
          <w:position w:val="4"/>
          <w:sz w:val="22"/>
          <w:szCs w:val="22"/>
          <w:vertAlign w:val="superscript"/>
        </w:rPr>
        <w:t xml:space="preserve">7</w:t>
      </w:r>
      <w:r>
        <w:rPr>
          <w:rFonts w:ascii="Calibri" w:hAnsi="Calibri" w:eastAsia="Calibri" w:cs="Calibri"/>
          <w:color w:val="000000"/>
          <w:sz w:val="22"/>
          <w:szCs w:val="22"/>
        </w:rPr>
        <w:t xml:space="preserve"> cells per lesion. The decrease of populations sizes while lesions age appears to be environment-dependent with greater decline reported in areas with a definite winter season when compared to tropical situations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Dynamics of lesion development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multiplication were found to be related to host resistance (Koizumi, 1979).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found to be able to survive in twig cankers (and remain culturable – Pruvost, unpublished data) for up to approximately 5 years (Goto, 1970). Survival in lesions on dry leaves on soil or incorporated into soil occurs only at low population sizes (10</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to 10</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cells per lesion) for a few months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1975b;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Asymptomatic plant material may host the pathogen either as latent infections or surface populations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found to be able to form biofilms (Cubero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Rigano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viable but not culturable (VBNC) state has been suggested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response to copper treatments (Del Campo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is no report of seed transmission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The bacterium was found to survive over weeks to months at low population levels in association with weeds (Goto, 1970;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1975a; Leite &amp; Mohan, 1987). The bacterium also survives for short time periods (24–72 hours) on inert surfaces e.g. on agricultural equipment, vehicles, fruit crates, clothes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Splash dispersal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caused by rain or irrigation occurs over short distances and allows movement of the inoculum between adult trees or between plants in nurseries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Although not documented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xanthomonads may spread as aerosols over short to medium distances (McInnes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Wind-driven rains spread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over distances that depend on wind speed. Within-grove dispersal among trees is achieved when wind speed reaches or exceeds approximately 8 m 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Extreme weather events can spread the pathogen over distances up to approximately 50 km in the case of a major hurricane (Irey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infects all aerial parts of its hosts. When the disease is severe, defoliation and early fruit drop can occur but no tree death has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lesions first appear on the lower leaf surface as pin-point oily spots due to water-soaking of the tissue. Later the lesions become visible on both epidermal surfaces as slightly raised pustules or blister-like eruptions. As lesions develop, they increase in size, the epidermis ruptures and the lesions become erumpent, spongy or corky. The pustules then darken and thicken into light tan-brown corky lesions, which are rough to the touch. Eventually, their centre becomes crater-like. Diagnostic symptoms are tissue hyperplasia resulting in cankers sometimes with water-soaked margins and yellow halos surrounding the lesions. Lesions with an atypical morphology (flat or blister-like spots) can be sometimes observed, especially in the case of late fruit infections or lesions on some resistant cultivars. In most hosts wilting is a common symptom of infection.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color w:val="000000"/>
          <w:sz w:val="22"/>
          <w:szCs w:val="22"/>
        </w:rPr>
        <w:t xml:space="preserve">On twigs, the symptoms are similar: raised corky lesions initially surrounded by an oily or water-soaked margin. The lesions are generally irregularly shaped and may be sunken. Pustules may coalesce but chlorosis does not typically surround twig lesions. On removal of the corky layer, dark brown lesions are visible in the healthy green bark tissue. On highly susceptible citrus cultivars, diseased twigs can eventually show dieback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on fruits can appear when they are still small and green and are similar to those on leaves, but tend to have more elevated margins and a sunken centre. These craters do not penetrate deep into the rind. Yellow chlorotic halos may or may not be present. Harvestable infected fruit have a reduced value or can be unmarketable depending on the severity of infection.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cells are Gram-negative rods with a single polar flagellum, non-fluorescent, typically with no diffusible pigment produced on agar media (very rare exceptions of brownish-reddish pigment production occur). After ≥ 3 days of incubation at 28°C, colonies on agar plates are circular, convex, mucoid, shiny and yellow. Very occasionally, strains altered in xanthomonadin pigment production (and therefore cream-white to pale yellow) can be observed.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molecular tests (conventional PCR, real-time PCR and LAMP) are available for the specific detection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have recently been validated in a test performance study (Anthoine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Identification can be based on different tests including conventional or real-time PCR, DNA barcoding, minisatellite-based typing, CRISPR based typing. The use of pathogenicity tests is recommended for critical cases. The EPPO Standard PM 7/44 (EPPO, 2023) provides instructions on sampling and testing plant materials. The procedure for inspection of citrus fruit consignments is reported in EPPO Standard PM 3/90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spread as a consequence of human activities (e.g. movement of contaminated plant propagative material or agricultural equipment or clothes used for grove/nursery maintenance operations)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Seven significant introduction pathways were identified and evaluated by the EFSA Plant Health Panel (EFSA, 2014):</w:t>
      </w:r>
    </w:p>
    <w:p>
      <w:pPr>
        <w:numPr>
          <w:ilvl w:val="0"/>
          <w:numId w:val="7405341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fruit, commercial trade</w:t>
      </w:r>
    </w:p>
    <w:p>
      <w:pPr>
        <w:numPr>
          <w:ilvl w:val="0"/>
          <w:numId w:val="7405341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fruit and/or leaves import by passenger traffic</w:t>
      </w:r>
    </w:p>
    <w:p>
      <w:pPr>
        <w:numPr>
          <w:ilvl w:val="0"/>
          <w:numId w:val="7405341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commercial trade</w:t>
      </w:r>
    </w:p>
    <w:p>
      <w:pPr>
        <w:numPr>
          <w:ilvl w:val="0"/>
          <w:numId w:val="7405341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import by passenger traffic</w:t>
      </w:r>
    </w:p>
    <w:p>
      <w:pPr>
        <w:numPr>
          <w:ilvl w:val="0"/>
          <w:numId w:val="7405341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commercial trade</w:t>
      </w:r>
    </w:p>
    <w:p>
      <w:pPr>
        <w:numPr>
          <w:ilvl w:val="0"/>
          <w:numId w:val="7405341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import by passenger traffic</w:t>
      </w:r>
    </w:p>
    <w:p>
      <w:pPr>
        <w:numPr>
          <w:ilvl w:val="0"/>
          <w:numId w:val="7405341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and rutaceous leaves and twigs, commercial trade</w:t>
      </w:r>
    </w:p>
    <w:p>
      <w:pPr>
        <w:widowControl w:val="on"/>
        <w:pBdr/>
        <w:spacing w:before="0" w:after="0" w:line="240" w:lineRule="auto"/>
        <w:ind w:left="0" w:right="0"/>
        <w:jc w:val="both"/>
      </w:pPr>
      <w:r>
        <w:rPr>
          <w:rFonts w:ascii="Calibri" w:hAnsi="Calibri" w:eastAsia="Calibri" w:cs="Calibri"/>
          <w:color w:val="000000"/>
          <w:sz w:val="22"/>
          <w:szCs w:val="22"/>
        </w:rPr>
        <w:t xml:space="preserve">Pathways consisting of plants or plant parts for planting have the highest risk for subsequent (and likely) establishment of the pathogen, which would very likely survive during transport and whose probability of transfer to a suitable host is very likely based on the intended use of the material and the large availability of citrus and other rutaceous genera in the EPPO region, either in commercial orchards or in private and public areas. The probability of establishment would be even higher in the case of plants or plant parts illegally imported through the passenger pathway or mail, as they could escape current regulations for official importation of rutaceous plant propagative material or whole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Together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(the causal agents of citrus huanglongbing) and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is one of the main sanitary threats for citrus industries worldwide. Although not the cause of tree death, the pathogen has serious direct and indirect economic impacts. Direct impacts include alteration of fruit quality and yield (due to early fruit drop), the severity of the effect is influenced by the host species, the bacterial strain and the environmental conditions. Reports from Argentina mention disease incidence rates on susceptible grapefruit fruit without chemical control of up to 80 % and early fruit drop reaching 50 % on Hamlin sweet orange (Stall &amp; Seymour, 1983). Direct impacts also include defoliation of heavily infected trees and/or twig dieback, as well as production cost increase due to implemented control measures. The annual cost ascribed to the presence Asiatic citrus canker in Florida only (approximately 0.3 million hectares of commercial citrus at the time of assessment) was estimated as ca. 350 million USD per year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Indirect impacts include restricted access to fruit export markets (e.g. the European Union, Australia) for countries or areas where satisfactory control of the disease cannot be achieved, undesirable consequences of chemical control (e.g. development of copper and antibiotic resistance and risk of transfer to other bacteria in the environment or phytotoxicity of copper compounds accumulating in soils). In Australia, the eradication of a citrus canker outbreak in Queensland in 2004 yielded an estimated potential net benefit of about 70 million AUD. The economic benefits of averting a national outbreak of citrus canker would be 410 million AUD if the estimated cost of an Australian citrus ban for five years would be 2 billion AUD (Alam &amp; Rolfe, 2006, Gambley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extremely wide geographic distribution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includes three major world citrus producers (i.e. USA, Brazil and China) as well as many other countries where citrus represents a significant income source for small-scale farmers.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cases where eradication is not feasible (see section ‘Phytosanitary measures’), the alternative strategy is based on integrated pest management (IPM), which aims to reduce the rate of infection and spread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attempt to keep disease below economically damaging levels. IPM combines several control options such as (i) the production of healthy citrus nursery plants for new grove establishment through certified programs, (ii) the recurrent physical elimination of inoculum sources, (iii) the avoidance of grove/nursey maintenance operations when the plant canopy is wet, (iv) the use of cultural practices minimizing infection and spread including general prophylactic measures applied to citrus production sites during grove/nursery maintenance operations, rootstocks controlling high tree vigour, drip irrigation, efficient windbreaks, preventive application of bactericides timed at host susceptibility peaks (most often using copper-based compounds), disinfection of agricultural equipment and (v) the use of partially resistant citrus lines or molecules inducing plant defence. Chemical control alone cannot adequately control Asiatic citrus canker. Bacteriophage-assisted biological control has been attempted but with limited success. Resistance to copper compounds, first reported in pathotype A strains from Argentina in the mid 1990s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was identified more recently in other regions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Richard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Richard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in pathotype A* originating from Southeast Asia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Similarly, streptomycin-resistant strains were reported from South Korea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Postharvest treatments (e.g. sodium orthophenylphenate) are frequently applied in packing lines but they effect is partial, they only decrease population levels of the pathogen but do not eliminate it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quarantine status in several countries in Africa, America, Asia, Europe and Oceania and for several regional plant protection organizations. Moreover,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is listed as a dual-use organism in the European Union because of its potential use as a biological weapon (Directive 1183/2007 EC)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was estimated to be likely to establish and spread in this European Union if reaching susceptible hosts (EFSA, 2014). Based on the EFSA analysis, this pathogen is a risk for the European Union where citrus is widely commercially cultivated and largely available in public and private non-commercial areas. Once established in a region, its spread would be difficult to control. Therefore, the best risk reduction options to be taken are the ones aiming to maintain its absence.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Once transferred to a suitable host,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cannot be controlled without strong phytosanitary measures. The effectiveness of strict regulatory control within the European Union has been reviewed (EFSA, 2014). Asiatic citrus canker is a disease for which eradication represents a feasible option, based on (i) its major economic impact, (ii) the biological characteristics of its causal agent and (iii) the successful eradication campaigns achieved in several countries (Australia, New Zealand, South Africa, the USA) (Graham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When an outbreak is observed in a new area, successful eradication requires efficient surveillance systems as well as quick and appropriate management measures on diseased and exposed trees. This strategy represents in this case the most cost-effective option (see ‘Economic impact’ section). Eradication of large outbreaks can become very difficult and costly (for example efforts implemented in Florida over a decade starting in the mid-1990s have cost more than one billion USD) and suffer low acceptability (Gottwald &amp; Irey, 2007, Parnell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Centner &amp; Ferreira, 2012, Cunniffe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European Union, the EFSA Plant Health Panel has reviewed the EU current phytosanitary measures to prevent the introduction and spread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(EFSA, 2014) and EU Regulation 2019/2072 updated these requirements. Briefly, main current measures include the prohibition of importation of plants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from third countries. Importation of plants of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is allowed only from certified pest-free third countries or pest-free areas. and the authorization of fruit (free from peduncles and leaves with a packaging bearing an appropriate origin mark) importation only from certified (1) pest-free third countries, (2) pest-free areas or (3) pest-free place of production established by the national plant protection organisation in the country of origin. Alternatively (4), an official control and examination should ascertain that (i) the site of production and the immediate vicinity are subject to appropriate treatments and cultural practices against</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(ii) the fruits have been subjected to a treatment with sodium orthophenylphenate, or another effective treatment that should be mentioned on the phytosanitary certificate referred to in Article 71 of EU Regulation 2016/2031, and the treatment method has been communicated in advance in writing to the European Commission by the national plant protection organization of the third country concerned, and (iii) official inspections carried out at appropriate times prior to export have certified that the fruits harvested in the place of production has shown that the fruits are free from symptoms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(iv) information on traceability is included in the phytosanitary certificate. In the case of fruits destined for industrial processing, (i), (iii) and (iv) apply as well as (v) movement, storage and processing takes place under conditions, approved in accordance with the procedure referred to in Article 107 of the EU Regulation, and (vi) the fruits have been transported in individual packages bearing a label, which contains a traceability code and the indication that the fruits are destined for industrial processing. Other EPPO countries have applied similar 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National regulatory control systems are recommended to EPPO countries for the surveillance, early detection and eradication of the pathogen, and for containment measures to prevent spread during eradication. Efficient and regular surveillance actions are recommended as they are key in enabling early detection and prompt implementation of eradication measures. In citrus-growing areas, inspectors, industry experts and workers should be trained to recognize Asiatic citrus canker symptoms and host plants. Countries should have access to laboratories with trained diagnosticians, experienced and competent in the identification of the pathogen according the EPPO PM 7/44 Diagnostic Protocol (EPPO,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Alam K &amp; Rolfe J (2006) Economics of plant disease outbreaks. </w:t>
      </w:r>
      <w:r>
        <w:rPr>
          <w:rFonts w:ascii="Calibri" w:hAnsi="Calibri" w:eastAsia="Calibri" w:cs="Calibri"/>
          <w:i/>
          <w:iCs/>
          <w:color w:val="000000"/>
          <w:sz w:val="22"/>
          <w:szCs w:val="22"/>
        </w:rPr>
        <w:t xml:space="preserve">Agenda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133-146.</w:t>
      </w:r>
    </w:p>
    <w:p>
      <w:pPr>
        <w:widowControl w:val="on"/>
        <w:pBdr/>
        <w:spacing w:before="220" w:after="220" w:line="240" w:lineRule="auto"/>
        <w:ind w:left="0" w:right="0"/>
        <w:jc w:val="left"/>
      </w:pPr>
      <w:r>
        <w:rPr>
          <w:rFonts w:ascii="Calibri" w:hAnsi="Calibri" w:eastAsia="Calibri" w:cs="Calibri"/>
          <w:color w:val="000000"/>
          <w:sz w:val="22"/>
          <w:szCs w:val="22"/>
        </w:rPr>
        <w:t xml:space="preserve">Anthoine G, Brittain I, Chabirand A, Dreo T, Faggioli F, Gueniau M. Harrison C, Luigi M, Lukežič T, Mehle N, Mezzalama M, Mouaziz H, Ravnikar M, Renvoisé JP, Spadaro D, Tomassoli L &amp; Vučurović A (2020) VALITEST - D1.3 List of tests for validation - Round 2 (Version 1). </w:t>
      </w:r>
      <w:r>
        <w:rPr>
          <w:rFonts w:ascii="Calibri" w:hAnsi="Calibri" w:eastAsia="Calibri" w:cs="Calibri"/>
          <w:i/>
          <w:iCs/>
          <w:color w:val="000000"/>
          <w:sz w:val="22"/>
          <w:szCs w:val="22"/>
        </w:rPr>
        <w:t xml:space="preserve">Zenodo</w:t>
      </w:r>
      <w:r>
        <w:rPr>
          <w:rFonts w:ascii="Calibri" w:hAnsi="Calibri" w:eastAsia="Calibri" w:cs="Calibri"/>
          <w:color w:val="000000"/>
          <w:sz w:val="22"/>
          <w:szCs w:val="22"/>
        </w:rPr>
        <w:t xml:space="preserve">. https://doi.org/10.5281/zenodo.5561846</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P, Pitkethley RN, Barnes D</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Bradley J, Dephoff C, Civerolo EL, Gillings MR &amp; Fahy PC (1995) A further outbreak of citrus canker near Darwin.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90-103.</w:t>
      </w:r>
    </w:p>
    <w:p>
      <w:pPr>
        <w:widowControl w:val="on"/>
        <w:pBdr/>
        <w:spacing w:before="220" w:after="220" w:line="240" w:lineRule="auto"/>
        <w:ind w:left="0" w:right="0"/>
        <w:jc w:val="left"/>
      </w:pPr>
      <w:r>
        <w:rPr>
          <w:rFonts w:ascii="Calibri" w:hAnsi="Calibri" w:eastAsia="Calibri" w:cs="Calibri"/>
          <w:color w:val="000000"/>
          <w:sz w:val="22"/>
          <w:szCs w:val="22"/>
        </w:rPr>
        <w:t xml:space="preserve">Brunings AM &amp; Gabriel DW (2003)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breaking the surface.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141-157.</w:t>
      </w:r>
    </w:p>
    <w:p>
      <w:pPr>
        <w:widowControl w:val="on"/>
        <w:pBdr/>
        <w:spacing w:before="220" w:after="220" w:line="240" w:lineRule="auto"/>
        <w:ind w:left="0" w:right="0"/>
        <w:jc w:val="left"/>
      </w:pPr>
      <w:r>
        <w:rPr>
          <w:rFonts w:ascii="Calibri" w:hAnsi="Calibri" w:eastAsia="Calibri" w:cs="Calibri"/>
          <w:color w:val="000000"/>
          <w:sz w:val="22"/>
          <w:szCs w:val="22"/>
        </w:rPr>
        <w:t xml:space="preserve">Campos PE, Groot Crego C, Boyer K, Gaudeul M, Baider C, Richard D, Pruvost O, Roumagnac P, Szurek B, Becker N, Gagnevin L &amp; Rieux A (2021) First historical genome of a crop bacterial pathogen from herbarium specimen: Insights into citrus canker emergence.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e1009714.</w:t>
      </w:r>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Gochez AM &amp; Moschini RC (2017) Management of citrus canker in Argentina, a success story.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441-449.</w:t>
      </w:r>
    </w:p>
    <w:p>
      <w:pPr>
        <w:widowControl w:val="on"/>
        <w:pBdr/>
        <w:spacing w:before="220" w:after="220" w:line="240" w:lineRule="auto"/>
        <w:ind w:left="0" w:right="0"/>
        <w:jc w:val="left"/>
      </w:pPr>
      <w:r>
        <w:rPr>
          <w:rFonts w:ascii="Calibri" w:hAnsi="Calibri" w:eastAsia="Calibri" w:cs="Calibri"/>
          <w:color w:val="000000"/>
          <w:sz w:val="22"/>
          <w:szCs w:val="22"/>
        </w:rPr>
        <w:t xml:space="preserve">Centner TJ &amp; Ferreira S (2012) Ability of governments to take actions to confront incursions of diseases – a case study: citrus canker in Florida.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821-8.</w:t>
      </w:r>
    </w:p>
    <w:p>
      <w:pPr>
        <w:widowControl w:val="on"/>
        <w:pBdr/>
        <w:spacing w:before="220" w:after="220" w:line="240" w:lineRule="auto"/>
        <w:ind w:left="0" w:right="0"/>
        <w:jc w:val="left"/>
      </w:pPr>
      <w:r>
        <w:rPr>
          <w:rFonts w:ascii="Calibri" w:hAnsi="Calibri" w:eastAsia="Calibri" w:cs="Calibri"/>
          <w:color w:val="000000"/>
          <w:sz w:val="22"/>
          <w:szCs w:val="22"/>
        </w:rPr>
        <w:t xml:space="preserve">Chen PS, Wang LY, Chen YJ</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Tzeng KC, Chang SC, Chung KR &amp; Lee MH (2012) Understanding cellular defence in kumquat and calamondin to citrus canker caused by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Cubero J, Gell I, Johnson EG, Redondo A &amp; Graham JH (2011) Unstable green fluorescent protein for study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survival on citrus.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977-85.</w:t>
      </w:r>
    </w:p>
    <w:p>
      <w:pPr>
        <w:widowControl w:val="on"/>
        <w:pBdr/>
        <w:spacing w:before="220" w:after="220" w:line="240" w:lineRule="auto"/>
        <w:ind w:left="0" w:right="0"/>
        <w:jc w:val="left"/>
      </w:pPr>
      <w:r>
        <w:rPr>
          <w:rFonts w:ascii="Calibri" w:hAnsi="Calibri" w:eastAsia="Calibri" w:cs="Calibri"/>
          <w:color w:val="000000"/>
          <w:sz w:val="22"/>
          <w:szCs w:val="22"/>
        </w:rPr>
        <w:t xml:space="preserve">Cunniffe NJ, Stutt R, De Simone RE, Gottwald TR &amp; Gilligan CA (2015) Optimising and communicating options for the control of invasive plant disease when there is epidemiological uncertainty. </w:t>
      </w:r>
      <w:r>
        <w:rPr>
          <w:rFonts w:ascii="Calibri" w:hAnsi="Calibri" w:eastAsia="Calibri" w:cs="Calibri"/>
          <w:i/>
          <w:iCs/>
          <w:color w:val="000000"/>
          <w:sz w:val="22"/>
          <w:szCs w:val="22"/>
        </w:rPr>
        <w:t xml:space="preserve">PLoS Computational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e1004211.</w:t>
      </w:r>
    </w:p>
    <w:p>
      <w:pPr>
        <w:widowControl w:val="on"/>
        <w:pBdr/>
        <w:spacing w:before="220" w:after="220" w:line="240" w:lineRule="auto"/>
        <w:ind w:left="0" w:right="0"/>
        <w:jc w:val="left"/>
      </w:pPr>
      <w:r>
        <w:rPr>
          <w:rFonts w:ascii="Calibri" w:hAnsi="Calibri" w:eastAsia="Calibri" w:cs="Calibri"/>
          <w:color w:val="000000"/>
          <w:sz w:val="22"/>
          <w:szCs w:val="22"/>
        </w:rPr>
        <w:t xml:space="preserve">Dalla Pria M, Christiano RCS, Furtado EL, Amorim L &amp; Bergamin Filho A( 2006) Effect of temperature and leaf wetness duration on infection of sweet oranges by Asiatic citrus canker.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657-663.</w:t>
      </w:r>
    </w:p>
    <w:p>
      <w:pPr>
        <w:widowControl w:val="on"/>
        <w:pBdr/>
        <w:spacing w:before="220" w:after="220" w:line="240" w:lineRule="auto"/>
        <w:ind w:left="0" w:right="0"/>
        <w:jc w:val="left"/>
      </w:pPr>
      <w:r>
        <w:rPr>
          <w:rFonts w:ascii="Calibri" w:hAnsi="Calibri" w:eastAsia="Calibri" w:cs="Calibri"/>
          <w:color w:val="000000"/>
          <w:sz w:val="22"/>
          <w:szCs w:val="22"/>
        </w:rPr>
        <w:t xml:space="preserve">Del Campo R, Russi P, Mara P</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enters the VBNC state after copper treatment and retains its virulence. </w:t>
      </w:r>
      <w:r>
        <w:rPr>
          <w:rFonts w:ascii="Calibri" w:hAnsi="Calibri" w:eastAsia="Calibri" w:cs="Calibri"/>
          <w:i/>
          <w:iCs/>
          <w:color w:val="000000"/>
          <w:sz w:val="22"/>
          <w:szCs w:val="22"/>
        </w:rPr>
        <w:t xml:space="preserve">FEMS Microbiology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298</w:t>
      </w:r>
      <w:r>
        <w:rPr>
          <w:rFonts w:ascii="Calibri" w:hAnsi="Calibri" w:eastAsia="Calibri" w:cs="Calibri"/>
          <w:color w:val="000000"/>
          <w:sz w:val="22"/>
          <w:szCs w:val="22"/>
        </w:rPr>
        <w:t xml:space="preserve">, 143-148.</w:t>
      </w:r>
    </w:p>
    <w:p>
      <w:pPr>
        <w:widowControl w:val="on"/>
        <w:pBdr/>
        <w:spacing w:before="220" w:after="220" w:line="240" w:lineRule="auto"/>
        <w:ind w:left="0" w:right="0"/>
        <w:jc w:val="left"/>
      </w:pPr>
      <w:r>
        <w:rPr>
          <w:rFonts w:ascii="Calibri" w:hAnsi="Calibri" w:eastAsia="Calibri" w:cs="Calibri"/>
          <w:color w:val="000000"/>
          <w:sz w:val="22"/>
          <w:szCs w:val="22"/>
        </w:rPr>
        <w:t xml:space="preserve">Derso E, Vernière C &amp; Pruvost O (2009)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-A* causing citrus canker on lime in Ethiopia.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203.</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(1916) The origin and cause of citrus canker in South Africa. </w:t>
      </w:r>
      <w:r>
        <w:rPr>
          <w:rFonts w:ascii="Calibri" w:hAnsi="Calibri" w:eastAsia="Calibri" w:cs="Calibri"/>
          <w:i/>
          <w:iCs/>
          <w:color w:val="000000"/>
          <w:sz w:val="22"/>
          <w:szCs w:val="22"/>
        </w:rPr>
        <w:t xml:space="preserve">Union South Africa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Baker R, Bragard C, Candresse T. Gilioli G, Grégoire JC, Holb I, Jeger MJ, Karadjova OE, Magnusson C, Makowski D, Manceau C, Navajas M, Rafoss T, Rossi V, Schans J, Schrader G, Urek G, Van Lenteren JC, Vloutoglou I, Winter S, Van der Werf W, Pruvost O, Schans J, Vernière C, Kozelska S, Goumperis T &amp; Schulz OM (2014) Scientific Opinion on the risk to plant health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Diagnostics. PM 7/44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citri pv. aurantifolii.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62-96.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Phytosanitary Procedures. PM 3/90 (1)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w:t>
      </w:r>
    </w:p>
    <w:p>
      <w:pPr>
        <w:widowControl w:val="on"/>
        <w:pBdr/>
        <w:spacing w:before="220" w:after="220" w:line="240" w:lineRule="auto"/>
        <w:ind w:left="0" w:right="0"/>
        <w:jc w:val="left"/>
      </w:pPr>
      <w:r>
        <w:rPr>
          <w:rFonts w:ascii="Calibri" w:hAnsi="Calibri" w:eastAsia="Calibri" w:cs="Calibri"/>
          <w:color w:val="000000"/>
          <w:sz w:val="22"/>
          <w:szCs w:val="22"/>
        </w:rPr>
        <w:t xml:space="preserve">Escalon A, Javegny S, Vernière C, Noël LD, Vital K, Poussier S, Hajri A, Boureau T, Pruvost O, Arlat M &amp; Gagnevin L (2013) Variations in type III effector repertoires, pathological phenotypes and host range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483-96.</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Council Regulation (EC) No 1183/2007 of 18 September 2007 amending and updating Regulation (EC) No 1334/2000 setting up a Community regime for the control of exports of dual-use items and technology.</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&amp; Jenkins AE (1933) Records of citrus canker from herbarium specimens of the genus Citrus in England and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820-824.</w:t>
      </w:r>
    </w:p>
    <w:p>
      <w:pPr>
        <w:widowControl w:val="on"/>
        <w:pBdr/>
        <w:spacing w:before="220" w:after="220" w:line="240" w:lineRule="auto"/>
        <w:ind w:left="0" w:right="0"/>
        <w:jc w:val="left"/>
      </w:pPr>
      <w:r>
        <w:rPr>
          <w:rFonts w:ascii="Calibri" w:hAnsi="Calibri" w:eastAsia="Calibri" w:cs="Calibri"/>
          <w:color w:val="000000"/>
          <w:sz w:val="22"/>
          <w:szCs w:val="22"/>
        </w:rPr>
        <w:t xml:space="preserve">Gambley CF, Miles AK, Ramsden M, Doogan V, Thomas JE, Parmenter K &amp; Whittle PJL (2009) The distribution and spread of citrus canker in Emerald,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547-57.</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(1970) Studies on citrus canker disease. III.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in soils and on the surface of weeds. </w:t>
      </w:r>
      <w:r>
        <w:rPr>
          <w:rFonts w:ascii="Calibri" w:hAnsi="Calibri" w:eastAsia="Calibri" w:cs="Calibri"/>
          <w:i/>
          <w:iCs/>
          <w:color w:val="000000"/>
          <w:sz w:val="22"/>
          <w:szCs w:val="22"/>
        </w:rPr>
        <w:t xml:space="preserve">Bulletin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Faculty of Agriculture Shizuoka University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Plant diseases of international importance. 7. Citrus canker. In: Kumar J, Chaube HS, Sing US, Mukhopadhyay AN, eds.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Englewood Cliffs: Prentice Hall Publishers, vol. 3, 170-208.</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Ohta K &amp; Okabe N (1975a) Studies on saprophytic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1. Detection of the bacterium from a grass (</w:t>
      </w:r>
      <w:r>
        <w:rPr>
          <w:rFonts w:ascii="Calibri" w:hAnsi="Calibri" w:eastAsia="Calibri" w:cs="Calibri"/>
          <w:i/>
          <w:iCs/>
          <w:color w:val="000000"/>
          <w:sz w:val="22"/>
          <w:szCs w:val="22"/>
        </w:rPr>
        <w:t xml:space="preserve">Zoysia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Ohta K &amp; Okabe N (1975b) Studies on saprophytic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2. Longevity and survival density of the bacterium on artificially infested weeds, plant residues and soil.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141-147.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Graham JH (1992) A device for precise and nondisruptive stomatal inoculation of leaf tissue with bacterial pathogens.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930-935.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Bock C, Bonn G, Civerolo EL, Irey, M, Leite R, McCollum G, Parker P, Ramallo J, Riley T, Schubert T, Stein B &amp; Taylor E (2009) The epidemiological significance of post-packinghouse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for dissemination of Asiatic citrus canker via infected fruit.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508-524.</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&amp; Schubert TS (2002) Citrus canker: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1081669e8111d7194" w:history="1">
        <w:r>
          <w:rPr>
            <w:rFonts w:ascii="Calibri" w:hAnsi="Calibri" w:eastAsia="Calibri" w:cs="Calibri"/>
            <w:color w:val="0000CC"/>
            <w:sz w:val="22"/>
            <w:szCs w:val="22"/>
            <w:u w:val="single"/>
          </w:rPr>
          <w:t xml:space="preserve">https://doi.org/10.1094/PHP-2002-0812-01-RV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Irey M (2007) Post-hurricane analysis of citrus canker II: Predictive model estimation of disease spread and area potentially impacted by various eradication protocols following catastrophic weather events. </w:t>
      </w:r>
      <w:r>
        <w:rPr>
          <w:rFonts w:ascii="Calibri" w:hAnsi="Calibri" w:eastAsia="Calibri" w:cs="Calibri"/>
          <w:i/>
          <w:iCs/>
          <w:color w:val="000000"/>
          <w:sz w:val="22"/>
          <w:szCs w:val="22"/>
        </w:rPr>
        <w:t xml:space="preserve">Plant Health Progress. </w:t>
      </w:r>
      <w:hyperlink r:id="rId7799669e8111d71e3" w:history="1">
        <w:r>
          <w:rPr>
            <w:rFonts w:ascii="Calibri" w:hAnsi="Calibri" w:eastAsia="Calibri" w:cs="Calibri"/>
            <w:color w:val="0000CC"/>
            <w:sz w:val="22"/>
            <w:szCs w:val="22"/>
            <w:u w:val="single"/>
          </w:rPr>
          <w:t xml:space="preserve">https://doi.org/doi:10.1094/PHP-2007-0405-01-RS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Cubero J &amp; Achor DS (2004)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factors affecting successful eradication of citrus canker.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Riley TD, Cubero J &amp; Drouillard DL (2000)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(Xcc) on various surfaces and chemical control of Asiatic citrus canker (ACC). In: Gottwald TR, Levy L, Dixon W, eds. </w:t>
      </w:r>
      <w:r>
        <w:rPr>
          <w:rFonts w:ascii="Calibri" w:hAnsi="Calibri" w:eastAsia="Calibri" w:cs="Calibri"/>
          <w:i/>
          <w:iCs/>
          <w:color w:val="000000"/>
          <w:sz w:val="22"/>
          <w:szCs w:val="22"/>
        </w:rPr>
        <w:t xml:space="preserve">Proceedings of the 1st International Citrus Canker Research Workshop</w:t>
      </w:r>
      <w:r>
        <w:rPr>
          <w:rFonts w:ascii="Calibri" w:hAnsi="Calibri" w:eastAsia="Calibri" w:cs="Calibri"/>
          <w:color w:val="000000"/>
          <w:sz w:val="22"/>
          <w:szCs w:val="22"/>
        </w:rPr>
        <w:t xml:space="preserve">. Fort Pierce (US).</w:t>
      </w:r>
    </w:p>
    <w:p>
      <w:pPr>
        <w:widowControl w:val="on"/>
        <w:pBdr/>
        <w:spacing w:before="220" w:after="220" w:line="240" w:lineRule="auto"/>
        <w:ind w:left="0" w:right="0"/>
        <w:jc w:val="left"/>
      </w:pPr>
      <w:r>
        <w:rPr>
          <w:rFonts w:ascii="Calibri" w:hAnsi="Calibri" w:eastAsia="Calibri" w:cs="Calibri"/>
          <w:color w:val="000000"/>
          <w:sz w:val="22"/>
          <w:szCs w:val="22"/>
        </w:rPr>
        <w:t xml:space="preserve">Hasse CH (1915)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the cause of citrus canker.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97-9.</w:t>
      </w:r>
    </w:p>
    <w:p>
      <w:pPr>
        <w:widowControl w:val="on"/>
        <w:pBdr/>
        <w:spacing w:before="220" w:after="220" w:line="240" w:lineRule="auto"/>
        <w:ind w:left="0" w:right="0"/>
        <w:jc w:val="left"/>
      </w:pPr>
      <w:r>
        <w:rPr>
          <w:rFonts w:ascii="Calibri" w:hAnsi="Calibri" w:eastAsia="Calibri" w:cs="Calibri"/>
          <w:color w:val="000000"/>
          <w:sz w:val="22"/>
          <w:szCs w:val="22"/>
        </w:rPr>
        <w:t xml:space="preserve">Huang CJ, Wu TL, Zheng PX, Ou JY, Ni HF &amp; Lin YC (2021) Comparative genomic analysis uncovered evolution of pathogenicity factors, horizontal gene transfer events, and heavy metal resistance traits in citrus canker bacterium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731711.</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Kim HJ, Yi PH, Hwang RY &amp; Park EW (2012) Mode of action of streptomycin resistance in the citrus canker pathogen (</w:t>
      </w:r>
      <w:r>
        <w:rPr>
          <w:rFonts w:ascii="Calibri" w:hAnsi="Calibri" w:eastAsia="Calibri" w:cs="Calibri"/>
          <w:i/>
          <w:iCs/>
          <w:color w:val="000000"/>
          <w:sz w:val="22"/>
          <w:szCs w:val="22"/>
        </w:rPr>
        <w:t xml:space="preserve">Xanthomonas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Jeju Island.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207-211.</w:t>
      </w:r>
    </w:p>
    <w:p>
      <w:pPr>
        <w:widowControl w:val="on"/>
        <w:pBdr/>
        <w:spacing w:before="220" w:after="220" w:line="240" w:lineRule="auto"/>
        <w:ind w:left="0" w:right="0"/>
        <w:jc w:val="left"/>
      </w:pPr>
      <w:r>
        <w:rPr>
          <w:rFonts w:ascii="Calibri" w:hAnsi="Calibri" w:eastAsia="Calibri" w:cs="Calibri"/>
          <w:color w:val="000000"/>
          <w:sz w:val="22"/>
          <w:szCs w:val="22"/>
        </w:rPr>
        <w:t xml:space="preserve">Irey M, Gottwald TR, Graham JH, Riley TD &amp; Carlton G (2006) Post-hurricane analysis of citrus canker spread and progress towards the development of a predictive model to estimate disease spread due to catastrophic weather events. </w:t>
      </w:r>
      <w:r>
        <w:rPr>
          <w:rFonts w:ascii="Calibri" w:hAnsi="Calibri" w:eastAsia="Calibri" w:cs="Calibri"/>
          <w:i/>
          <w:iCs/>
          <w:color w:val="000000"/>
          <w:sz w:val="22"/>
          <w:szCs w:val="22"/>
        </w:rPr>
        <w:t xml:space="preserve">Plant Health Progress. </w:t>
      </w:r>
      <w:hyperlink r:id="rId3996669e8111d74e8" w:history="1">
        <w:r>
          <w:rPr>
            <w:rFonts w:ascii="Calibri" w:hAnsi="Calibri" w:eastAsia="Calibri" w:cs="Calibri"/>
            <w:color w:val="0000CC"/>
            <w:sz w:val="22"/>
            <w:szCs w:val="22"/>
            <w:u w:val="single"/>
          </w:rPr>
          <w:t xml:space="preserve">https://doi.org/10.1094/PHP-2006-0822-01-RS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Jalan N, Yan Q, Kogenaru 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Guo Y, Jones JB, Graham JH &amp; Wang N (2014) Genomics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and related species. In: Gross DC, Lichens-Park A, Kole C, eds. </w:t>
      </w:r>
      <w:r>
        <w:rPr>
          <w:rFonts w:ascii="Calibri" w:hAnsi="Calibri" w:eastAsia="Calibri" w:cs="Calibri"/>
          <w:i/>
          <w:iCs/>
          <w:color w:val="000000"/>
          <w:sz w:val="22"/>
          <w:szCs w:val="22"/>
        </w:rPr>
        <w:t xml:space="preserve">Genomics of Plant-Associated Bacteria.</w:t>
      </w:r>
      <w:r>
        <w:rPr>
          <w:rFonts w:ascii="Calibri" w:hAnsi="Calibri" w:eastAsia="Calibri" w:cs="Calibri"/>
          <w:color w:val="000000"/>
          <w:sz w:val="22"/>
          <w:szCs w:val="22"/>
        </w:rPr>
        <w:t xml:space="preserve"> Berlin Heidelberg, Germany: Springer-Verlag, 151-176. </w:t>
      </w:r>
    </w:p>
    <w:p>
      <w:pPr>
        <w:widowControl w:val="on"/>
        <w:pBdr/>
        <w:spacing w:before="220" w:after="220" w:line="240" w:lineRule="auto"/>
        <w:ind w:left="0" w:right="0"/>
        <w:jc w:val="left"/>
      </w:pPr>
      <w:r>
        <w:rPr>
          <w:rFonts w:ascii="Calibri" w:hAnsi="Calibri" w:eastAsia="Calibri" w:cs="Calibri"/>
          <w:color w:val="000000"/>
          <w:sz w:val="22"/>
          <w:szCs w:val="22"/>
        </w:rPr>
        <w:t xml:space="preserve">Khalaf A, Moore GA, Jones JB &amp; Gmitter FG (2007) New insights into the resistance of Nagami kumquat to canker disease.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240-250.</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(1976) Incubation period of citrus canker in relation to temperature.</w:t>
      </w:r>
      <w:r>
        <w:rPr>
          <w:rFonts w:ascii="Calibri" w:hAnsi="Calibri" w:eastAsia="Calibri" w:cs="Calibri"/>
          <w:i/>
          <w:iCs/>
          <w:color w:val="000000"/>
          <w:sz w:val="22"/>
          <w:szCs w:val="22"/>
        </w:rPr>
        <w:t xml:space="preserve"> Bulletin of the Fruit Tree Research Station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B, 3</w:t>
      </w:r>
      <w:r>
        <w:rPr>
          <w:rFonts w:ascii="Calibri" w:hAnsi="Calibri" w:eastAsia="Calibri" w:cs="Calibri"/>
          <w:color w:val="000000"/>
          <w:sz w:val="22"/>
          <w:szCs w:val="22"/>
        </w:rPr>
        <w:t xml:space="preserve">, 33-46.</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(1978) Resistance of Citrus plants to bacterial canker disease. </w:t>
      </w:r>
      <w:r>
        <w:rPr>
          <w:rFonts w:ascii="Calibri" w:hAnsi="Calibri" w:eastAsia="Calibri" w:cs="Calibri"/>
          <w:i/>
          <w:iCs/>
          <w:color w:val="000000"/>
          <w:sz w:val="22"/>
          <w:szCs w:val="22"/>
        </w:rPr>
        <w:t xml:space="preserve">Shokubutsu Boeki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207-11.</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(1979) Ultrastructural changes in susceptible and resistant plants of Citrus following artificial inoculation with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(Hasse) Dowson. </w:t>
      </w:r>
      <w:r>
        <w:rPr>
          <w:rFonts w:ascii="Calibri" w:hAnsi="Calibri" w:eastAsia="Calibri" w:cs="Calibri"/>
          <w:i/>
          <w:iCs/>
          <w:color w:val="000000"/>
          <w:sz w:val="22"/>
          <w:szCs w:val="22"/>
        </w:rPr>
        <w:t xml:space="preserve">Annals of the Phytopathological Society of Japan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635-44.</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(1981) Resistance of citrus plants to bacterial canker disease : a review.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402-405.</w:t>
      </w:r>
    </w:p>
    <w:p>
      <w:pPr>
        <w:widowControl w:val="on"/>
        <w:pBdr/>
        <w:spacing w:before="220" w:after="220" w:line="240" w:lineRule="auto"/>
        <w:ind w:left="0" w:right="0"/>
        <w:jc w:val="left"/>
      </w:pPr>
      <w:r>
        <w:rPr>
          <w:rFonts w:ascii="Calibri" w:hAnsi="Calibri" w:eastAsia="Calibri" w:cs="Calibri"/>
          <w:color w:val="000000"/>
          <w:sz w:val="22"/>
          <w:szCs w:val="22"/>
        </w:rPr>
        <w:t xml:space="preserve">Kuhara S (1978) Present epidemic status and control of the citrus canker disease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in Japan. </w:t>
      </w:r>
      <w:r>
        <w:rPr>
          <w:rFonts w:ascii="Calibri" w:hAnsi="Calibri" w:eastAsia="Calibri" w:cs="Calibri"/>
          <w:i/>
          <w:iCs/>
          <w:color w:val="000000"/>
          <w:sz w:val="22"/>
          <w:szCs w:val="22"/>
        </w:rPr>
        <w:t xml:space="preserve">Review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132-142.</w:t>
      </w:r>
    </w:p>
    <w:p>
      <w:pPr>
        <w:widowControl w:val="on"/>
        <w:pBdr/>
        <w:spacing w:before="220" w:after="220" w:line="240" w:lineRule="auto"/>
        <w:ind w:left="0" w:right="0"/>
        <w:jc w:val="left"/>
      </w:pPr>
      <w:r>
        <w:rPr>
          <w:rFonts w:ascii="Calibri" w:hAnsi="Calibri" w:eastAsia="Calibri" w:cs="Calibri"/>
          <w:color w:val="000000"/>
          <w:sz w:val="22"/>
          <w:szCs w:val="22"/>
        </w:rPr>
        <w:t xml:space="preserve">Lee HA (1918) Further data on the susceptibility of rutaceous plants to citrus canker.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661-665.</w:t>
      </w:r>
    </w:p>
    <w:p>
      <w:pPr>
        <w:widowControl w:val="on"/>
        <w:pBdr/>
        <w:spacing w:before="220" w:after="220" w:line="240" w:lineRule="auto"/>
        <w:ind w:left="0" w:right="0"/>
        <w:jc w:val="left"/>
      </w:pPr>
      <w:r>
        <w:rPr>
          <w:rFonts w:ascii="Calibri" w:hAnsi="Calibri" w:eastAsia="Calibri" w:cs="Calibri"/>
          <w:color w:val="000000"/>
          <w:sz w:val="22"/>
          <w:szCs w:val="22"/>
        </w:rPr>
        <w:t xml:space="preserve">Leite JRP &amp; Mohan SK (1987)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(Hasse) Dye in soil and in association with some gramineous plants.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Sao Paulo, Brazil,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Mcinnes TB, Gitaitis RD, Mccarter SM, Jaworski CA &amp; Phatak SC (1988) Airborne dispersal of bacteria in tomato and pepper transplant fields.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Munoz Bodnar A, Santillana G, Mavrodieva V, Liu Z, Nakhla M &amp; Gabriel DW (2017) Complete genome sequences of three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strains from Texas.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e00609-17.</w:t>
      </w:r>
    </w:p>
    <w:p>
      <w:pPr>
        <w:widowControl w:val="on"/>
        <w:pBdr/>
        <w:spacing w:before="220" w:after="220" w:line="240" w:lineRule="auto"/>
        <w:ind w:left="0" w:right="0"/>
        <w:jc w:val="left"/>
      </w:pPr>
      <w:r>
        <w:rPr>
          <w:rFonts w:ascii="Calibri" w:hAnsi="Calibri" w:eastAsia="Calibri" w:cs="Calibri"/>
          <w:color w:val="000000"/>
          <w:sz w:val="22"/>
          <w:szCs w:val="22"/>
        </w:rPr>
        <w:t xml:space="preserve">Parnell S, Gottwald TR, Van Den Bosch F &amp; Gilligan CA (2009) Optimal strategies for the eradication of Asiatic citrus canker in heterogeneous host landscapes.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1370-1376.</w:t>
      </w:r>
    </w:p>
    <w:p>
      <w:pPr>
        <w:widowControl w:val="on"/>
        <w:pBdr/>
        <w:spacing w:before="220" w:after="220" w:line="240" w:lineRule="auto"/>
        <w:ind w:left="0" w:right="0"/>
        <w:jc w:val="left"/>
      </w:pPr>
      <w:r>
        <w:rPr>
          <w:rFonts w:ascii="Calibri" w:hAnsi="Calibri" w:eastAsia="Calibri" w:cs="Calibri"/>
          <w:color w:val="000000"/>
          <w:sz w:val="22"/>
          <w:szCs w:val="22"/>
        </w:rPr>
        <w:t xml:space="preserve">Patane JSL, Martins J, Jr., Rangel LT, Belasque J, Digiampietri LA, Facincani AP, Ferreira RM, Jaciani FJ, Zhang Y, Varani AM, Almeida NF, Wang N, Ferro JA, Moreira LM &amp; Setubal JC (2019) Origin and diversification of Xanthomonas citri subsp. citri pathotypes revealed by inclusive phylogenomic, dating, and biogeographic analyses.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700.</w:t>
      </w:r>
    </w:p>
    <w:p>
      <w:pPr>
        <w:widowControl w:val="on"/>
        <w:pBdr/>
        <w:spacing w:before="220" w:after="220" w:line="240" w:lineRule="auto"/>
        <w:ind w:left="0" w:right="0"/>
        <w:jc w:val="left"/>
      </w:pPr>
      <w:r>
        <w:rPr>
          <w:rFonts w:ascii="Calibri" w:hAnsi="Calibri" w:eastAsia="Calibri" w:cs="Calibri"/>
          <w:color w:val="000000"/>
          <w:sz w:val="22"/>
          <w:szCs w:val="22"/>
        </w:rPr>
        <w:t xml:space="preserve">Pruvost O, Boher B, Brocherieux C, Nicole M &amp; Chiroleu F (2002) Survival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leaf lesions under tropical environmental conditions and simulated splash dispersal of inoculum.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336-346.</w:t>
      </w:r>
    </w:p>
    <w:p>
      <w:pPr>
        <w:widowControl w:val="on"/>
        <w:pBdr/>
        <w:spacing w:before="220" w:after="220" w:line="240" w:lineRule="auto"/>
        <w:ind w:left="0" w:right="0"/>
        <w:jc w:val="left"/>
      </w:pPr>
      <w:r>
        <w:rPr>
          <w:rFonts w:ascii="Calibri" w:hAnsi="Calibri" w:eastAsia="Calibri" w:cs="Calibri"/>
          <w:color w:val="000000"/>
          <w:sz w:val="22"/>
          <w:szCs w:val="22"/>
        </w:rPr>
        <w:t xml:space="preserve">Pruvost O, Goodarzi T, Boyer K, Soltaninejad H, Escalon A, Alavi SM, Javegny S, Boyer C, Cottyn B, Gagnevin L &amp; Vernière C (2015) Genetic structure analysis of strains causing citrus canker in Iran reveals the presence of two different lineages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776-84.</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(1997) Sources of resistance to bacterial canker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80-81.</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 D, Boyer C, Javegny S, Boyer K, Grygiel P, Pruvost O, Rioualec AL, Rakotobe V, Iotti J, Picard R, Vernière C, Audusseau C, François C, Olivier V, Moreau A &amp; Chabirand A (2016)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causing Asiatic citrus canker in Martinique,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1946.</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 D, Tribot N, Boyer C</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Terville M, Boyer K, Javegny S, Roux-Cuvelier M, Pruvost O, Moreau A, Chabirand A &amp; Vernière C (2017) First report of copper-resistant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causing Asiatic citrus canker in Réunion,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503.</w:t>
      </w:r>
    </w:p>
    <w:p>
      <w:pPr>
        <w:widowControl w:val="on"/>
        <w:pBdr/>
        <w:spacing w:before="220" w:after="220" w:line="240" w:lineRule="auto"/>
        <w:ind w:left="0" w:right="0"/>
        <w:jc w:val="left"/>
      </w:pPr>
      <w:r>
        <w:rPr>
          <w:rFonts w:ascii="Calibri" w:hAnsi="Calibri" w:eastAsia="Calibri" w:cs="Calibri"/>
          <w:color w:val="000000"/>
          <w:sz w:val="22"/>
          <w:szCs w:val="22"/>
        </w:rPr>
        <w:t xml:space="preserve">Rigano LA, Siciliano F, Enrique R, Sendin L, Filippone P,Torres PS, Questa J, Dow, JM, Castagnaro AP, Vojnov AA &amp; Marano MR (2007) Biofilm formation, epiphytic fitness, and canker development in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1222-30.</w:t>
      </w:r>
    </w:p>
    <w:p>
      <w:pPr>
        <w:widowControl w:val="on"/>
        <w:pBdr/>
        <w:spacing w:before="220" w:after="220" w:line="240" w:lineRule="auto"/>
        <w:ind w:left="0" w:right="0"/>
        <w:jc w:val="left"/>
      </w:pPr>
      <w:r>
        <w:rPr>
          <w:rFonts w:ascii="Calibri" w:hAnsi="Calibri" w:eastAsia="Calibri" w:cs="Calibri"/>
          <w:color w:val="000000"/>
          <w:sz w:val="22"/>
          <w:szCs w:val="22"/>
        </w:rPr>
        <w:t xml:space="preserve">Rybak M, Minsavage GV, Stall RE &amp; Jones JB (2009) Identification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host specificity genes in a heterologous expression host.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249-62.</w:t>
      </w:r>
    </w:p>
    <w:p>
      <w:pPr>
        <w:widowControl w:val="on"/>
        <w:pBdr/>
        <w:spacing w:before="220" w:after="220" w:line="240" w:lineRule="auto"/>
        <w:ind w:left="0" w:right="0"/>
        <w:jc w:val="left"/>
      </w:pPr>
      <w:r>
        <w:rPr>
          <w:rFonts w:ascii="Calibri" w:hAnsi="Calibri" w:eastAsia="Calibri" w:cs="Calibri"/>
          <w:color w:val="000000"/>
          <w:sz w:val="22"/>
          <w:szCs w:val="22"/>
        </w:rPr>
        <w:t xml:space="preserve">Serizawa S, Inoue K &amp; Goto M (1969) Studies on citrus canker disease. I. Dispersal of the citrus canker organism. </w:t>
      </w:r>
      <w:r>
        <w:rPr>
          <w:rFonts w:ascii="Calibri" w:hAnsi="Calibri" w:eastAsia="Calibri" w:cs="Calibri"/>
          <w:i/>
          <w:iCs/>
          <w:color w:val="000000"/>
          <w:sz w:val="22"/>
          <w:szCs w:val="22"/>
        </w:rPr>
        <w:t xml:space="preserve">Bulletin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Faculty of Agriculture Shizuoka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81-5.</w:t>
      </w:r>
    </w:p>
    <w:p>
      <w:pPr>
        <w:widowControl w:val="on"/>
        <w:pBdr/>
        <w:spacing w:before="220" w:after="220" w:line="240" w:lineRule="auto"/>
        <w:ind w:left="0" w:right="0"/>
        <w:jc w:val="left"/>
      </w:pPr>
      <w:r>
        <w:rPr>
          <w:rFonts w:ascii="Calibri" w:hAnsi="Calibri" w:eastAsia="Calibri" w:cs="Calibri"/>
          <w:color w:val="000000"/>
          <w:sz w:val="22"/>
          <w:szCs w:val="22"/>
        </w:rPr>
        <w:t xml:space="preserve">Stall RE, Miller JW &amp; Canteros De Echenique BI (1980) Population dynamics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causing cancrosis of citrus in Argentina.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10-4.</w:t>
      </w:r>
    </w:p>
    <w:p>
      <w:pPr>
        <w:widowControl w:val="on"/>
        <w:pBdr/>
        <w:spacing w:before="220" w:after="220" w:line="240" w:lineRule="auto"/>
        <w:ind w:left="0" w:right="0"/>
        <w:jc w:val="left"/>
      </w:pPr>
      <w:r>
        <w:rPr>
          <w:rFonts w:ascii="Calibri" w:hAnsi="Calibri" w:eastAsia="Calibri" w:cs="Calibri"/>
          <w:color w:val="000000"/>
          <w:sz w:val="22"/>
          <w:szCs w:val="22"/>
        </w:rPr>
        <w:t xml:space="preserve">Stall RE &amp; Seymour CP (1983) Canker, a threat to Citrus in the Gulf-coast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581-585.</w:t>
      </w:r>
    </w:p>
    <w:p>
      <w:pPr>
        <w:widowControl w:val="on"/>
        <w:pBdr/>
        <w:spacing w:before="220" w:after="220" w:line="240" w:lineRule="auto"/>
        <w:ind w:left="0" w:right="0"/>
        <w:jc w:val="left"/>
      </w:pPr>
      <w:r>
        <w:rPr>
          <w:rFonts w:ascii="Calibri" w:hAnsi="Calibri" w:eastAsia="Calibri" w:cs="Calibri"/>
          <w:color w:val="000000"/>
          <w:sz w:val="22"/>
          <w:szCs w:val="22"/>
        </w:rPr>
        <w:t xml:space="preserve">Stover E, Driggers R, Richardson ML, Hall DG, Duan YP &amp; Lee RF (2014) Incidence and severity of Asiatic citrus canker on diverse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-related germplasm in a Florida field planting.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4-9.</w:t>
      </w:r>
    </w:p>
    <w:p>
      <w:pPr>
        <w:widowControl w:val="on"/>
        <w:pBdr/>
        <w:spacing w:before="220" w:after="220" w:line="240" w:lineRule="auto"/>
        <w:ind w:left="0" w:right="0"/>
        <w:jc w:val="left"/>
      </w:pPr>
      <w:r>
        <w:rPr>
          <w:rFonts w:ascii="Calibri" w:hAnsi="Calibri" w:eastAsia="Calibri" w:cs="Calibri"/>
          <w:color w:val="000000"/>
          <w:sz w:val="22"/>
          <w:szCs w:val="22"/>
        </w:rPr>
        <w:t xml:space="preserve">Sun XA, Stall RE, Jones JB, Cubero J, Gottwald TR, Graham JH, Dixon WN, Schubert TS, Chaloux PH, Stromberg VK, Lacy GH &amp; Sutton BD (2004) Detection and characterization of a new strain of citrus canker bacteria from key Mexican lime and Alemow in South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1179-1188.</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Zitko SE, &amp; Gottwald TR (1996) Population dynamics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on symptomatic and asymptomatic citrus leaves under various environmental conditions. In: Manicom B, Robinson J, Du Plessis SF, Joubert P, Van Zyl JL, Du Preez S, eds.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Sun City, vpl. 1, 448-51.</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Gottwald TR &amp; Pruvost O (2003) Disease development and symptom expression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various citrus plant tissues.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832-843.</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Hartung JS, Pruvost OP, Civerolo EL, Alvarez AM, Maestri P &amp; Luisetti J (1998) Characterization of phenotypically distinct strains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from Southwest Asia.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477-487.</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 Bogema D &amp; Chapman TA (2020) Comparative genomics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pathotype reveals three distinct clades with varying plasmid distribution.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1947.</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Allen C, Coutinho T, Denny T, Elphinstone J, Fegan M, Gillings M, Gottwald TR, Graham JH, Iacobellis NS, Janse JD, Jacques MA, Lopez MM, Morris CE, Parkinson N, Prior P, Pruvos, O, Neto JR, Scortichini M, Takikawa Y &amp; Upper CD (2008) Plant pathogenic bacteria as biological weapons: real threats?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1060-1065.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Olivier Pruvost of CIRAD (French Agricultural Research Centre for International Development).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citri</w:t>
      </w:r>
      <w:r>
        <w:rPr>
          <w:rFonts w:ascii="Calibri" w:hAnsi="Calibri" w:eastAsia="Calibri" w:cs="Calibri"/>
          <w:color w:val="000000"/>
          <w:sz w:val="22"/>
          <w:szCs w:val="22"/>
        </w:rPr>
        <w:t xml:space="preserve">. EPPO datasheets on pests recommended for regulation. Available online. </w:t>
      </w:r>
      <w:hyperlink r:id="rId4123669e8111d842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1: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3-7.  </w:t>
      </w:r>
      <w:hyperlink r:id="rId2875669e8111d8592" w:history="1">
        <w:r>
          <w:rPr>
            <w:rFonts w:ascii="Calibri" w:hAnsi="Calibri" w:eastAsia="Calibri" w:cs="Calibri"/>
            <w:color w:val="0000CC"/>
            <w:sz w:val="22"/>
            <w:szCs w:val="22"/>
            <w:u w:val="single"/>
          </w:rPr>
          <w:t xml:space="preserve">https://doi.org/10.1111/j.1365-2338.1979.tb02444.x</w:t>
        </w:r>
      </w:hyperlink>
      <w:r>
        <w:rPr>
          <w:rFonts w:ascii="Calibri" w:hAnsi="Calibri" w:eastAsia="Calibri" w:cs="Calibri"/>
          <w:color w:val="000000"/>
          <w:sz w:val="22"/>
          <w:szCs w:val="22"/>
        </w:rPr>
        <w:t xml:space="preserve"> </w:t>
      </w:r>
    </w:p>
    <w:p>
      <w:r>
        <w:drawing>
          <wp:inline distT="0" distB="0" distL="0" distR="0">
            <wp:extent cx="1800000" cy="604800"/>
            <wp:docPr id="3734402" name="name8891669e8111d875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57669e8111d875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053412">
    <w:multiLevelType w:val="hybridMultilevel"/>
    <w:lvl w:ilvl="0" w:tplc="94263368">
      <w:start w:val="1"/>
      <w:numFmt w:val="decimal"/>
      <w:lvlText w:val="%1."/>
      <w:lvlJc w:val="left"/>
      <w:pPr>
        <w:ind w:left="720" w:hanging="360"/>
      </w:pPr>
    </w:lvl>
    <w:lvl w:ilvl="1" w:tplc="94263368" w:tentative="1">
      <w:start w:val="1"/>
      <w:numFmt w:val="lowerLetter"/>
      <w:lvlText w:val="%2."/>
      <w:lvlJc w:val="left"/>
      <w:pPr>
        <w:ind w:left="1440" w:hanging="360"/>
      </w:pPr>
    </w:lvl>
    <w:lvl w:ilvl="2" w:tplc="94263368" w:tentative="1">
      <w:start w:val="1"/>
      <w:numFmt w:val="lowerRoman"/>
      <w:lvlText w:val="%3."/>
      <w:lvlJc w:val="right"/>
      <w:pPr>
        <w:ind w:left="2160" w:hanging="180"/>
      </w:pPr>
    </w:lvl>
    <w:lvl w:ilvl="3" w:tplc="94263368" w:tentative="1">
      <w:start w:val="1"/>
      <w:numFmt w:val="decimal"/>
      <w:lvlText w:val="%4."/>
      <w:lvlJc w:val="left"/>
      <w:pPr>
        <w:ind w:left="2880" w:hanging="360"/>
      </w:pPr>
    </w:lvl>
    <w:lvl w:ilvl="4" w:tplc="94263368" w:tentative="1">
      <w:start w:val="1"/>
      <w:numFmt w:val="lowerLetter"/>
      <w:lvlText w:val="%5."/>
      <w:lvlJc w:val="left"/>
      <w:pPr>
        <w:ind w:left="3600" w:hanging="360"/>
      </w:pPr>
    </w:lvl>
    <w:lvl w:ilvl="5" w:tplc="94263368" w:tentative="1">
      <w:start w:val="1"/>
      <w:numFmt w:val="lowerRoman"/>
      <w:lvlText w:val="%6."/>
      <w:lvlJc w:val="right"/>
      <w:pPr>
        <w:ind w:left="4320" w:hanging="180"/>
      </w:pPr>
    </w:lvl>
    <w:lvl w:ilvl="6" w:tplc="94263368" w:tentative="1">
      <w:start w:val="1"/>
      <w:numFmt w:val="decimal"/>
      <w:lvlText w:val="%7."/>
      <w:lvlJc w:val="left"/>
      <w:pPr>
        <w:ind w:left="5040" w:hanging="360"/>
      </w:pPr>
    </w:lvl>
    <w:lvl w:ilvl="7" w:tplc="94263368" w:tentative="1">
      <w:start w:val="1"/>
      <w:numFmt w:val="lowerLetter"/>
      <w:lvlText w:val="%8."/>
      <w:lvlJc w:val="left"/>
      <w:pPr>
        <w:ind w:left="5760" w:hanging="360"/>
      </w:pPr>
    </w:lvl>
    <w:lvl w:ilvl="8" w:tplc="94263368" w:tentative="1">
      <w:start w:val="1"/>
      <w:numFmt w:val="lowerRoman"/>
      <w:lvlText w:val="%9."/>
      <w:lvlJc w:val="right"/>
      <w:pPr>
        <w:ind w:left="6480" w:hanging="180"/>
      </w:pPr>
    </w:lvl>
  </w:abstractNum>
  <w:abstractNum w:abstractNumId="49492698">
    <w:multiLevelType w:val="hybridMultilevel"/>
    <w:lvl w:ilvl="0" w:tplc="91756693">
      <w:start w:val="1"/>
      <w:numFmt w:val="decimal"/>
      <w:lvlText w:val="%1."/>
      <w:lvlJc w:val="left"/>
      <w:pPr>
        <w:ind w:left="720" w:hanging="360"/>
      </w:pPr>
    </w:lvl>
    <w:lvl w:ilvl="1" w:tplc="91756693" w:tentative="1">
      <w:start w:val="1"/>
      <w:numFmt w:val="lowerLetter"/>
      <w:lvlText w:val="%2."/>
      <w:lvlJc w:val="left"/>
      <w:pPr>
        <w:ind w:left="1440" w:hanging="360"/>
      </w:pPr>
    </w:lvl>
    <w:lvl w:ilvl="2" w:tplc="91756693" w:tentative="1">
      <w:start w:val="1"/>
      <w:numFmt w:val="lowerRoman"/>
      <w:lvlText w:val="%3."/>
      <w:lvlJc w:val="right"/>
      <w:pPr>
        <w:ind w:left="2160" w:hanging="180"/>
      </w:pPr>
    </w:lvl>
    <w:lvl w:ilvl="3" w:tplc="91756693" w:tentative="1">
      <w:start w:val="1"/>
      <w:numFmt w:val="decimal"/>
      <w:lvlText w:val="%4."/>
      <w:lvlJc w:val="left"/>
      <w:pPr>
        <w:ind w:left="2880" w:hanging="360"/>
      </w:pPr>
    </w:lvl>
    <w:lvl w:ilvl="4" w:tplc="91756693" w:tentative="1">
      <w:start w:val="1"/>
      <w:numFmt w:val="lowerLetter"/>
      <w:lvlText w:val="%5."/>
      <w:lvlJc w:val="left"/>
      <w:pPr>
        <w:ind w:left="3600" w:hanging="360"/>
      </w:pPr>
    </w:lvl>
    <w:lvl w:ilvl="5" w:tplc="91756693" w:tentative="1">
      <w:start w:val="1"/>
      <w:numFmt w:val="lowerRoman"/>
      <w:lvlText w:val="%6."/>
      <w:lvlJc w:val="right"/>
      <w:pPr>
        <w:ind w:left="4320" w:hanging="180"/>
      </w:pPr>
    </w:lvl>
    <w:lvl w:ilvl="6" w:tplc="91756693" w:tentative="1">
      <w:start w:val="1"/>
      <w:numFmt w:val="decimal"/>
      <w:lvlText w:val="%7."/>
      <w:lvlJc w:val="left"/>
      <w:pPr>
        <w:ind w:left="5040" w:hanging="360"/>
      </w:pPr>
    </w:lvl>
    <w:lvl w:ilvl="7" w:tplc="91756693" w:tentative="1">
      <w:start w:val="1"/>
      <w:numFmt w:val="lowerLetter"/>
      <w:lvlText w:val="%8."/>
      <w:lvlJc w:val="left"/>
      <w:pPr>
        <w:ind w:left="5760" w:hanging="360"/>
      </w:pPr>
    </w:lvl>
    <w:lvl w:ilvl="8" w:tplc="91756693" w:tentative="1">
      <w:start w:val="1"/>
      <w:numFmt w:val="lowerRoman"/>
      <w:lvlText w:val="%9."/>
      <w:lvlJc w:val="right"/>
      <w:pPr>
        <w:ind w:left="6480" w:hanging="180"/>
      </w:pPr>
    </w:lvl>
  </w:abstractNum>
  <w:abstractNum w:abstractNumId="49492697">
    <w:multiLevelType w:val="hybridMultilevel"/>
    <w:lvl w:ilvl="0" w:tplc="790985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492697">
    <w:abstractNumId w:val="49492697"/>
  </w:num>
  <w:num w:numId="49492698">
    <w:abstractNumId w:val="49492698"/>
  </w:num>
  <w:num w:numId="74053412">
    <w:abstractNumId w:val="740534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2433768" Type="http://schemas.microsoft.com/office/2011/relationships/commentsExtended" Target="commentsExtended.xml"/><Relationship Id="rId740085626" Type="http://schemas.microsoft.com/office/2011/relationships/people" Target="people.xml"/><Relationship Id="rId1927669e8111d2907" Type="http://schemas.openxmlformats.org/officeDocument/2006/relationships/hyperlink" Target="https://gd.eppo.int/taxon/XANTCI/" TargetMode="External"/><Relationship Id="rId8362669e8111d2974" Type="http://schemas.openxmlformats.org/officeDocument/2006/relationships/hyperlink" Target="https://gd.eppo.int/taxon/XANTCI/categorization" TargetMode="External"/><Relationship Id="rId5401669e8111d3296" Type="http://schemas.openxmlformats.org/officeDocument/2006/relationships/hyperlink" Target="https://gd.eppo.int/taxon/XANTCI/photos" TargetMode="External"/><Relationship Id="rId1081669e8111d7194" Type="http://schemas.openxmlformats.org/officeDocument/2006/relationships/hyperlink" Target="https://doi.org/10.1094/PHP-2002-0812-01-RV" TargetMode="External"/><Relationship Id="rId7799669e8111d71e3" Type="http://schemas.openxmlformats.org/officeDocument/2006/relationships/hyperlink" Target="https://doi.org/doi:10.1094/PHP-2007-0405-01-RS" TargetMode="External"/><Relationship Id="rId3996669e8111d74e8" Type="http://schemas.openxmlformats.org/officeDocument/2006/relationships/hyperlink" Target="https://doi.org/10.1094/PHP-2006-0822-01-RS" TargetMode="External"/><Relationship Id="rId4123669e8111d8420" Type="http://schemas.openxmlformats.org/officeDocument/2006/relationships/hyperlink" Target="https://gd.eppo.int" TargetMode="External"/><Relationship Id="rId2875669e8111d8592" Type="http://schemas.openxmlformats.org/officeDocument/2006/relationships/hyperlink" Target="https://doi.org/10.1111/j.1365-2338.1979.tb02444.x" TargetMode="External"/><Relationship Id="rId4850669e8111d312e" Type="http://schemas.openxmlformats.org/officeDocument/2006/relationships/image" Target="media/imgrId4850669e8111d312e.jpg"/><Relationship Id="rId6343669e8111d4ee1" Type="http://schemas.openxmlformats.org/officeDocument/2006/relationships/image" Target="media/imgrId6343669e8111d4ee1.jpg"/><Relationship Id="rId4357669e8111d875b" Type="http://schemas.openxmlformats.org/officeDocument/2006/relationships/image" Target="media/imgrId4357669e8111d875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