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translucens pv. translucens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translucens pv. translucens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(Jones et al.) Vauterin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campestris pv. hordei</w:t>
            </w:r>
            <w:r>
              <w:rPr>
                <w:rFonts w:ascii="Calibri" w:hAnsi="Calibri" w:eastAsia="Calibri" w:cs="Calibri"/>
                <w:color w:val="000000"/>
                <w:position w:val="-3"/>
                <w:sz w:val="22"/>
                <w:szCs w:val="22"/>
              </w:rPr>
              <w:t xml:space="preserve"> (Hagborg) Dye, </w:t>
            </w:r>
            <w:r>
              <w:rPr>
                <w:rFonts w:ascii="Calibri" w:hAnsi="Calibri" w:eastAsia="Calibri" w:cs="Calibri"/>
                <w:i/>
                <w:iCs/>
                <w:color w:val="000000"/>
                <w:position w:val="-3"/>
                <w:sz w:val="22"/>
                <w:szCs w:val="22"/>
              </w:rPr>
              <w:t xml:space="preserve">Xanthomonas campestris pv. translucens</w:t>
            </w:r>
            <w:r>
              <w:rPr>
                <w:rFonts w:ascii="Calibri" w:hAnsi="Calibri" w:eastAsia="Calibri" w:cs="Calibri"/>
                <w:color w:val="000000"/>
                <w:position w:val="-3"/>
                <w:sz w:val="22"/>
                <w:szCs w:val="22"/>
              </w:rPr>
              <w:t xml:space="preserve"> (Jones et al.) Dye, </w:t>
            </w:r>
            <w:r>
              <w:rPr>
                <w:rFonts w:ascii="Calibri" w:hAnsi="Calibri" w:eastAsia="Calibri" w:cs="Calibri"/>
                <w:i/>
                <w:iCs/>
                <w:color w:val="000000"/>
                <w:position w:val="-3"/>
                <w:sz w:val="22"/>
                <w:szCs w:val="22"/>
              </w:rPr>
              <w:t xml:space="preserve">Xanthomonas translucens pv. hordei</w:t>
            </w:r>
            <w:r>
              <w:rPr>
                <w:rFonts w:ascii="Calibri" w:hAnsi="Calibri" w:eastAsia="Calibri" w:cs="Calibri"/>
                <w:color w:val="000000"/>
                <w:position w:val="-3"/>
                <w:sz w:val="22"/>
                <w:szCs w:val="22"/>
              </w:rPr>
              <w:t xml:space="preserve"> (Hagborg) Dye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bLS, bacterial leaf streak of barley, bacterial leaf streak of wheat, black chaff of cereals</w:t>
            </w:r>
            <w:hyperlink r:id="rId3953672dbe149ca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312672dbe149cad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XANTTR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122238" name="name5594672dbe149ce98" descr="1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76.jpg"/>
                          <pic:cNvPicPr/>
                        </pic:nvPicPr>
                        <pic:blipFill>
                          <a:blip r:embed="rId7745672dbe149ce96" cstate="print"/>
                          <a:stretch>
                            <a:fillRect/>
                          </a:stretch>
                        </pic:blipFill>
                        <pic:spPr>
                          <a:xfrm>
                            <a:off x="0" y="0"/>
                            <a:ext cx="2160000" cy="1281600"/>
                          </a:xfrm>
                          <a:prstGeom prst="rect">
                            <a:avLst/>
                          </a:prstGeom>
                          <a:ln w="0">
                            <a:noFill/>
                          </a:ln>
                        </pic:spPr>
                      </pic:pic>
                    </a:graphicData>
                  </a:graphic>
                </wp:inline>
              </w:drawing>
            </w:r>
            <w:hyperlink r:id="rId2073672dbe149d02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taxonomy of variants belonging to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species has been a topic of confusion and debate in the scientific literature, primarily due to the pest’s complex host range infecting many plants within the family Poaceae. This host specificity has contributed to the challenges in accurately classifying and defining this bacterial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exhibits a wide range of strains and variants that infect various cereals and grass species. The overlapping symptoms and pathogenicity observed among different strains infecting these diverse hosts have made it difficult to establish clear taxonomic boundaries. The wide variation in host range has long posed significant question regarding whether these strains represent distinct species or simply different pathovars or subspecies within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According to studies utilizing DNA-DNA hybridization, protein electrophoresis, and fatty acid analysis,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that were previously known as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pathovars of the 'translucens group' infecting Poaceae were reclassified and grouped within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1995). These molecular techniques allowed for a more accurate classification and understanding of the relationships between these strains, resulting in the consolidation of the Poaceae-infecting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under the species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classified as strains that caused symptoms when inoculated on barley, but not on other cereals, and includes strains that were previously classified as pv.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(Bragard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Recent advancements in genome sequencing have provided valuable insights into the taxonomy of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Through comprehensive comparative genomics analysis of whole-genome sequences, researchers have observed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can be divided into three distinct clades based on average nucleotide identity (ANI) and digital DNA-DNA hybridization (dDDH)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Pathovar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belongs to the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along with the closely related pathovar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further divided into three main subgroups which are globally distributed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 main hosts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are domesticated and wild barley (</w:t>
      </w:r>
      <w:r>
        <w:rPr>
          <w:rFonts w:ascii="Calibri" w:hAnsi="Calibri" w:eastAsia="Calibri" w:cs="Calibri"/>
          <w:i/>
          <w:iCs/>
          <w:color w:val="000000"/>
          <w:sz w:val="22"/>
          <w:szCs w:val="22"/>
        </w:rPr>
        <w:t xml:space="preserve">Hordeum vulgare, Hordeum marinum</w:t>
      </w:r>
      <w:r>
        <w:rPr>
          <w:rFonts w:ascii="Calibri" w:hAnsi="Calibri" w:eastAsia="Calibri" w:cs="Calibri"/>
          <w:color w:val="000000"/>
          <w:sz w:val="22"/>
          <w:szCs w:val="22"/>
        </w:rPr>
        <w:t xml:space="preserve">), occasional asymptomatic isolation from wheat (</w:t>
      </w:r>
      <w:r>
        <w:rPr>
          <w:rFonts w:ascii="Calibri" w:hAnsi="Calibri" w:eastAsia="Calibri" w:cs="Calibri"/>
          <w:i/>
          <w:iCs/>
          <w:color w:val="000000"/>
          <w:sz w:val="22"/>
          <w:szCs w:val="22"/>
        </w:rPr>
        <w:t xml:space="preserve">Triticum aestivum</w:t>
      </w:r>
      <w:r>
        <w:rPr>
          <w:rFonts w:ascii="Calibri" w:hAnsi="Calibri" w:eastAsia="Calibri" w:cs="Calibri"/>
          <w:color w:val="000000"/>
          <w:sz w:val="22"/>
          <w:szCs w:val="22"/>
        </w:rPr>
        <w:t xml:space="preserve">) and rye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have been recently reported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Bacterial Leaf Blight caused by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was first reported near Madison (Wisconsin, USA) in 1912. The accurate determination of the geographical distribution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challenging due to historical variations in its nomenclature and the misidentification with closely related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 use of different names for this pathogen in the past has led to confusion and inconsistency in the literature, making it difficult to establish a completely accurate and up-to-date understanding of its geographic range. The similarity in characteristics and symptoms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has further complicated the accurate identification and differentiation of these pathogens. </w:t>
      </w:r>
    </w:p>
    <w:p>
      <w:pPr>
        <w:widowControl w:val="on"/>
        <w:pBdr/>
        <w:spacing w:before="220" w:after="220" w:line="240" w:lineRule="auto"/>
        <w:ind w:left="0" w:right="0"/>
        <w:jc w:val="both"/>
      </w:pPr>
      <w:r>
        <w:rPr>
          <w:rFonts w:ascii="Calibri" w:hAnsi="Calibri" w:eastAsia="Calibri" w:cs="Calibri"/>
          <w:color w:val="000000"/>
          <w:sz w:val="22"/>
          <w:szCs w:val="22"/>
        </w:rPr>
        <w:t xml:space="preserve">The records given here derive, among other sources, from Bradbury (1986), Duveiller (1989), Duveiller (1994) and are representative of the species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Based on the available information, it is believed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is present in most barley-growing regions worldwide, with the exception of Western Europe. However, the exact reasons for its absence in Western European barley fields remain unknown. There could be several factors contributing to the absence of the pathogen in Western Europe, but without specific research or studies addressing this issue, it is challenging to determine the exact cause. Some potential factors that could play a role include variations in climate, agricultural practices, or the presence of natural barriers that limit its establishment and spread in the region.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noteworthy to mention that recent observations suggest a reemergence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within the barley-growing regions of North America (Curland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2020; Heiden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Beutler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Schachterle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n.d.). This resurgence has raised concerns among researchers and farmers, as it highlights the dynamic nature of pathogen populations and their potential to regain prominence in agricultural systems. Efforts are underway to monitor and study the factors contributing to this reemergence, including shifts in environmental conditions, genetic changes in the pathogen, or alterations in host susceptibility. Analysis of diversity parameters such as haplotype frequency, haplotype diversity, and percentage of polymorphic sites revealed significantly higher genetic diversity in Iranian strains compared to those isolated in North American countries (Khojasteh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a global-scale phylogeographic analysis supported the hypothesis that Iranian strains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have acted as the founding population in other countries, inferring that the centre of origin of the pathogen is from the Middle East and was disseminated in other continents.</w:t>
      </w:r>
    </w:p>
    <w:p>
      <w:r>
        <w:drawing>
          <wp:inline distT="0" distB="0" distL="0" distR="0">
            <wp:extent cx="6120000" cy="3067200"/>
            <wp:docPr id="47653935" name="name9366672dbe149e8fb" descr="XANT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TR_distribution_map.jpg"/>
                    <pic:cNvPicPr/>
                  </pic:nvPicPr>
                  <pic:blipFill>
                    <a:blip r:embed="rId9658672dbe149e8f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Azerbaijan, Georgia, Israel, Jordan, Kazakhstan, Morocco, Romania, Russia (Central Russia, Eastern Siberia, Southern Russia, Western Siberia),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 Kenya, Libya, Morocco, South Africa, Tanzania, Tunisia,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Xinjiang), India (Delhi, Rajasthan), Iran, Israel, Japan (Hokkaido), Jordan, Kazakhstan, Malaysia (Sabah), Pakistan, Saudi Arabia, Syria</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Québec, Saskatchewan), Mexico, United States of America (Alabama, Arizona, Arkansas, California, Colorado, Georgia, Idaho, Illinois, Indiana, Iowa, Kansas, Louisiana, Michigan, Minnesota, Mississippi, Montana, Nebraska, North Carolina, North Dakota, Ohio, Oklahoma, Oregon, South Carolina, South Dakota, Texas, Utah, Virginia, Washington,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(Mato Grosso do Sul, Parana),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Seeds have been reported as the primary source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inoculum and large-scale long-distance dissemination of the pathogen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1916;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On a local scale, bacteria are transmitted by rain splash, dew and contact between plants (Boosalis, 1951).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typically enters the host tissue through existing wounds or through natural water pores called hydathodes. These hydathodes are located at the leaf tips and serve as natural openings for the movement of water and dissolved substances in plants. Hydathodes offer a direct route to the water-transporting xylem vessels where bacteria proliferate at high density and cause systemic disease. While the xylem is the main niche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at late stages of infection, bacteria eventually exit the xylem vessels and colonize the intercellular space of the mesophyll followed by the release of bacterial exudate at the leaf surface (Shekhawat and Patel, 1978; Gluck-Thaler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route from which these exudates are released is currently unclear, but stomata may play an important role in this process. One infected plant can lead to an area of 30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being infected during a growing season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has been hypothesized that aphids and other insects that come into contact with these sticky exudates may carry the bacterium and potentially transmit it to nearby plants, aiding in its dissemination (Boosalis, 1952). However, this has not been demonstrated conclusively and remains largely speculative.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pathogen exhibits remarkable resistance to dry conditions. The organism has been found to survive for up to eight months on straw obtained from blighted plants and can persist for as long as two years within seeds (Jones and Johnson, 1917). It is worth noting that the survival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the field is not solely reliant on the presence of host plants (or host crop residues), as epiphytic populations have been found to persist on non-host species (Timmer, 1987). In the growing season, the optimal temperature range for infection and symptom development is typically between 15 and 22°C (Kim, 1982). The occurrence of disease outbreaks is more common during wet seasons, indicating that warm and humid conditions are critical for the development of the disease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It has been observed that the disease is more prevalent in fields with sprinkler irrigation or during periods of increased rainfall. Inoculation experiments have shown that plants are most susceptible to infection when exposed to moisture, particularly during rainfall or sprinkler irrigation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It is believed that the presence of moisture on the plant surfaces creates a favourable environment for the bacterium to multiply and establish infections. The wet conditions not only facilitate the survival and multiplication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but may also enhance the likelihood of successful pathogen entry and colonization of the host plant. Preliminary analyses of data from previous field trials seems to indicate that the stage of maturity in barley can significantly influence its response to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been observed that many barley accessions may exhibit apparent levels of resistance to the pathogen before heading, but become more susceptible to infection once they reach the heading stage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has been reported that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exhibits ice-nucleating activity, which suggests a potential association between the bacterium and frost injury in plants (Kim, 1987; Sands and Fourrest, 1989; Zhao and Orser, 1990). In addition to its potential association with frost injury, the ice-nucleating activity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may also play a role in its dissemination (plants are more easily injured and bacteria may be released from these plants and spread e.g. via rain splash).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stages of infection, leaves display distinct symptoms characterized by water-soaked stripe lesions that are prominently visible along the leaf margins when observed under direct light. These lesions appear as areas of abnormal moisture accumulation, giving the affected tissue a soaked and translucent appearance. As the infection progresses, the water-soaked lesions tend to expand in size and merge, forming larger, streak-shaped lesions. Over time, these lesions can undergo necrosis or tissue death. As the disease advances systemically, blight symptoms may emerge on the infected leaves. Blight symptoms often manifest as wilting, yellowing, or browning of the affected tissue, leading to the overall decline of the leaf. Eventually, the entire leaf becomes desiccated. Downstream of the blight, translucent water-soaked lesions can be found within the mesophyll tissue as a result of local infection. The presence of bacterial slime can be observed at the leaf surface, which subsequently dries and forms a thin scale-like layer that can be flaked off. Symptoms in seedlings may be minimal, while severe infections can cause 'black chaff' symptoms in glumes and seeds, characterized by purple-black discoloration of the surface. It typically takes 10-14 days for symptoms to become apparent. The development of water-soaked symptoms followed by tissue death, as well as the subsequent appearance of blight, are typical patterns associated with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These symptoms serve as important diagnostic indicators for this pathogen.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bacteria are gram-negative, non-sporing, rod-shaped aerobic, motile, 0.5–0.8 × 1.0–2.5 µm in size, containing a single polar flagellum, and forming typical Xanthomonads yellow colonies on nutrient agar medium (Jones and Johnson, 1917). On Wilbrink's medium, colonies are round, bright, mucoid and yellow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Ideal temperatures for the growth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similar to many other Xanthomonads, are generally around 28°C. Various non-selective media can be utilized to culture the bacterium, such as Nutrient Agar (NA), Wilbrink's medium, Peptone Sucrose Agar (PSA), and King's Broth (KB) (Jones and Johnson, 1917;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However, for isolation, semi-selective media, including modified Wilbrink's medium (seed and leaf tissue) and mTMB (leaf tissue), are preferred (McGuire, 1986; Sands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Duveiller, 1990). Accurately diagnosing the specific pathogens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complex has proven to be a formidable challenge, primarily due to the historical lack of clear taxonomic boundaries surrounding this group and the overlapping host ranges exhibited by these subspecies. As a result, the development of highly specific pathovar-specific diagnostic tools has been lacking. Until recently, detection methods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included immunofluorescence microscopy, dot-immunobinding assays, and semi-selective enrichment combined with ELISA (Duveiller, 1992; Frommel and Pazos, 1994). However, these methods are not specific to the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(Bragard and Verhoyen, 1993). This lack of specificity is even more critical due to the fact both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infect the same host, barley. Inaccurate differentiation between these pathovars can lead to misdiagnosis and the implementation of inappropriate quarantine measure.</w:t>
      </w:r>
    </w:p>
    <w:p>
      <w:pPr>
        <w:widowControl w:val="on"/>
        <w:pBdr/>
        <w:spacing w:before="220" w:after="220" w:line="240" w:lineRule="auto"/>
        <w:ind w:left="0" w:right="0"/>
        <w:jc w:val="both"/>
      </w:pPr>
      <w:r>
        <w:rPr>
          <w:rFonts w:ascii="Calibri" w:hAnsi="Calibri" w:eastAsia="Calibri" w:cs="Calibri"/>
          <w:color w:val="000000"/>
          <w:sz w:val="22"/>
          <w:szCs w:val="22"/>
        </w:rPr>
        <w:t xml:space="preserve">PCR tests have recently been developed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which have a high sensitivity and can reliably differentiate it from closely related subspecies within the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species. A LAMP-based approach has also been developed as a rapid detection and diagnostic method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in plant tissues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This LAMP assay offers the ability to distinguish between clade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 and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 clade-III within the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species (Goettelmann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However, it does not provide specific differentiation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which are both barley pathogens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A probe-based real-time PCR protocol was developed for the detection and quantification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secalis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-1 clade)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This real-time PCR protocol provides a reliable and sensitive method for detecting the presence of these pathovars; however, it does not differentiate between the three pathovars. In 2022, a rapid multiplex PCR test was developed to detect all subgroups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 to </w:t>
      </w:r>
      <w:r>
        <w:rPr>
          <w:rFonts w:ascii="Calibri" w:hAnsi="Calibri" w:eastAsia="Calibri" w:cs="Calibri"/>
          <w:i/>
          <w:iCs/>
          <w:color w:val="000000"/>
          <w:sz w:val="22"/>
          <w:szCs w:val="22"/>
        </w:rPr>
        <w:t xml:space="preserve">Xt</w:t>
      </w:r>
      <w:r>
        <w:rPr>
          <w:rFonts w:ascii="Calibri" w:hAnsi="Calibri" w:eastAsia="Calibri" w:cs="Calibri"/>
          <w:color w:val="000000"/>
          <w:sz w:val="22"/>
          <w:szCs w:val="22"/>
        </w:rPr>
        <w:t xml:space="preserve">-III) and differentiate between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(Roman-Reyna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Recently, a pathovar-specific TaqMan real-time PCR test was developed with high specificity and analytical sensitivity (Tambong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This test allowed for the specific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plant leaf tissue, with the capability to detect as low as 23 CFU mL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Having a reliable and established seed-detection diagnostic method for this seed-borne pathogen is of utmost importance. To ensure the safe trade of agricultural commodities, robust diagnostic tools are needed. Therefore, it is important to highlight that the LAMP assay developed by Langlois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has undergone testing and validation for the detection of the pathogen in barley seeds. In contrast, the study conducted by Sarkes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focused on the detection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specifically in wheat seeds. Even though these approaches do not offer specific differentiation between barley-infecting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their capability to detect both pathogens on seeds makes them valuable and practical seed-detection methods.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 are primarily dispersed locally through splashing over short distances. However, the potential for international spread is primarily associated with infected seed lots.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crucial to highlight that the presence of a conserved ice-nucleation gene among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strains indicates its capability for aerial dispersal and long-distance dissemination. Additionally, the isolation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from rain events further supports this notion (Failor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Over the last two decades,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has re-emerged and raised significant concerns in barley production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Infections caused by this pathogen can have severe adverse effects on both crop yield and quality (Sapkota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there is limited quantitative data regarding the extent of losses caused by this pathogen. This can be attributed to two main factors: the absence of completely resistant barley varieties for comparative analysis and the lack of studies specifically targeting the impacts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Consequently, the understanding of the precise economic and agronomic consequences of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infections remains relatively limited. Further research and investigations are necessary to fill this knowledge gap.</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combination of management strategies is advisable to control Bacterial Leaf Blight on barley. These include implementing a seed certification program, to ensure the absence of the bacterium in seeds (Forster and Schaad, 1988;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Efficient screening and monitoring of seed lots during production, storage, and distribution processes are essential. While there are currently no seed treatments available that provide complete effectiveness against the pathogen, it is possible to implement quarantine measures to prevent the unintended introduction of the pathogen into new regions (Duveiller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color w:val="000000"/>
          <w:sz w:val="22"/>
          <w:szCs w:val="22"/>
        </w:rPr>
        <w:t xml:space="preserve">Additionally, the following agricultural practices can be used: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Cultural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Implementing a crop rotation scheme that includes nonhost plants can help break the disease cycle and reduce the viable inoculum present in the field (Ritzinger, 2022). Furthermore, removing infected crop residue after harvest may help in preventing the survival and spread of the pathogen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It is also advisable to eliminate potential alternative host weeds located in close proximity to barley fields, as the closely related pathovar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was detected on a multitude of weedy grasses typically found around wheat field (Ledman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Plant resistance</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lack of effective chemical control, host resistance is currently considered to be the most efficient disease management strategy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Consequently, prioritizing germplasm screening for resistance to bacterial leaf blight becomes crucial in management strategies. Previous studies aimed to develop more resilient barley varieties. The resistant cultivar Oderbrucker which was identified as early as 1917 by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exhibited resistance in field trials in Montana (Kim, 1982). Three quantitative trait loci (QTLs) associated with resistance to Bacterial Leaf Blight were identified on chromosomes 3 (two QTLs) and 7 (one QTL) of the cultivar Morex, a widely deployed six-row spring malting barley that was released in 1978 by the Minnesota Agricultural Experiment Station (Alizadeh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This cultivar has gained popularity in North American barley fields and serves as the current reference genome for barley. The QTL located near the marker ABG377 on chromosome 3 was found to be the primary contributor to the resistance. However, this resistance is only partial and Morex remains susceptible to the current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population in North America (Jules Butchacas, personal communication). In a recent study, a panel of 2094 barley accessions was subjected to field trials conducted in Minnesota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By considering both resistance during leaf development and heading time, the authors were able to narrow down the list of potential Bacterial Leaf Blight-resistant candidates for breeding to 32 accessions. The study also revealed that wild barley parents from countries such as Israel, Lebanon, Iran, Turkmenistan, Azerbaijan, Syria, Türkiye, and Jordan played a significant role in contributing Bacterial Leaf Blight resistance alleles. Wild barley species (e.g. </w:t>
      </w:r>
      <w:r>
        <w:rPr>
          <w:rFonts w:ascii="Calibri" w:hAnsi="Calibri" w:eastAsia="Calibri" w:cs="Calibri"/>
          <w:i/>
          <w:iCs/>
          <w:color w:val="000000"/>
          <w:sz w:val="22"/>
          <w:szCs w:val="22"/>
        </w:rPr>
        <w:t xml:space="preserve">H. spontaneum, H. marinum</w:t>
      </w:r>
      <w:r>
        <w:rPr>
          <w:rFonts w:ascii="Calibri" w:hAnsi="Calibri" w:eastAsia="Calibri" w:cs="Calibri"/>
          <w:color w:val="000000"/>
          <w:sz w:val="22"/>
          <w:szCs w:val="22"/>
        </w:rPr>
        <w:t xml:space="preserve">) have been widely acknowledged for their valuable resistance against various fungal pathogens affecting barley, confirming their potential as a valuable resource for breeding and developing barley varieties with resistance to Bacterial Leaf Blight (Kim, 1982; Dinh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once again demonstrated the resistance of 'Oderbrucker' to Bacterial Leaf Blight. Ritzinger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underlined the importance of developing genetic markers through genome-wide association studies (GWAS) and classical mapping studies for breeding programs aimed at enhancing Bacterial Leaf Blight resistance in barley. These genetic markers provide essential insights into the underlying genetic mechanisms of Bacterial Leaf Blight resistance and enable targeted breeding efforts.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acknowledge that the identified germplasm sources resistant to Bacterial Leaf Blight present poor agronomic characteristics. Research should continue to develop varieties that combine resistance to Bacterial Leaf Blight with favourable agronomic characteristics to provide farmers with improved varieties that are resistant to the disease and also possess desirable traits such as high yield potential, good quality, and adaptability to different environmental conditions.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can have negative impacts on the yield of barley, an important crop in the EPPO region. While it is most likely already present within the EPPO region, accurately establishing its exact range poses challenges due to symptom confusion and the historical lack of reliable detection methods. Given its seed-borne nature and its presence in areas with similar climates as in the EPPO region, there is a potential risk for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to further establish and develop in new parts of the EPPO region if infected seeds are used.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minimize the risk of introducing </w:t>
      </w:r>
      <w:r>
        <w:rPr>
          <w:rFonts w:ascii="Calibri" w:hAnsi="Calibri" w:eastAsia="Calibri" w:cs="Calibri"/>
          <w:i/>
          <w:iCs/>
          <w:color w:val="000000"/>
          <w:sz w:val="22"/>
          <w:szCs w:val="22"/>
        </w:rPr>
        <w:t xml:space="preserve">X.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it is essential to adopt stringent measures for import and exchange of barley seeds. Therefore, robust diagnostic tests and rigorous phytosanitary measures are essential in preventing the unintentional introduction and spread of this pathogen to new areas within the EPPO region. Seeds of host plants should either come from a pest-free area or be certified as pest free if they are produced in countries where the pest occurs. Such measures should also apply to barley seeds imported for breeding purposes in areas where the pest does not occur. To mitigate this risk, it is advisable to produce such seeds in dry and disease-free zones whenever possible, supplemented by regular testing.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Alizadeh A, Benetti V, Sarrafi A, Barrault G &amp; Albertini L (1994) Genetic analysis for partial resistance to an Iranian strain of bacterial leaf streak (</w:t>
      </w:r>
      <w:r>
        <w:rPr>
          <w:rFonts w:ascii="Calibri" w:hAnsi="Calibri" w:eastAsia="Calibri" w:cs="Calibri"/>
          <w:i/>
          <w:iCs/>
          <w:color w:val="000000"/>
          <w:sz w:val="22"/>
          <w:szCs w:val="22"/>
        </w:rPr>
        <w:t xml:space="preserve">X.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hordei</w:t>
      </w:r>
      <w:r>
        <w:rPr>
          <w:rFonts w:ascii="Calibri" w:hAnsi="Calibri" w:eastAsia="Calibri" w:cs="Calibri"/>
          <w:color w:val="000000"/>
          <w:sz w:val="22"/>
          <w:szCs w:val="22"/>
        </w:rPr>
        <w:t xml:space="preserve">) in barley. </w:t>
      </w:r>
      <w:r>
        <w:rPr>
          <w:rFonts w:ascii="Calibri" w:hAnsi="Calibri" w:eastAsia="Calibri" w:cs="Calibri"/>
          <w:i/>
          <w:iCs/>
          <w:color w:val="000000"/>
          <w:sz w:val="22"/>
          <w:szCs w:val="22"/>
        </w:rPr>
        <w:t xml:space="preserve">Plant Breeding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323–326.</w:t>
      </w:r>
    </w:p>
    <w:p>
      <w:pPr>
        <w:widowControl w:val="on"/>
        <w:pBdr/>
        <w:spacing w:before="220" w:after="220" w:line="240" w:lineRule="auto"/>
        <w:ind w:left="0" w:right="0"/>
        <w:jc w:val="left"/>
      </w:pPr>
      <w:r>
        <w:rPr>
          <w:rFonts w:ascii="Calibri" w:hAnsi="Calibri" w:eastAsia="Calibri" w:cs="Calibri"/>
          <w:color w:val="000000"/>
          <w:sz w:val="22"/>
          <w:szCs w:val="22"/>
        </w:rPr>
        <w:t xml:space="preserve">Beutler J, Li T, Roman-Reyna V, Fleitas MC, Bamrah R, Jacobs JM, Kutcher HR, Tambong JT &amp; Brar GS (2023) First report of bacterial leaf streak of barley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in British Columbia, Canada.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(7), 2215. </w:t>
      </w:r>
      <w:hyperlink r:id="rId2855672dbe14a0070" w:history="1">
        <w:r>
          <w:rPr>
            <w:rFonts w:ascii="Calibri" w:hAnsi="Calibri" w:eastAsia="Calibri" w:cs="Calibri"/>
            <w:color w:val="0000CC"/>
            <w:sz w:val="22"/>
            <w:szCs w:val="22"/>
            <w:u w:val="single"/>
          </w:rPr>
          <w:t xml:space="preserve">https://doi.org/10.1094/PDIS-09-22-2112-PDN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(1951)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(J.J. and R.) Dowson on cereals and grasses. Available at: </w:t>
      </w:r>
      <w:hyperlink r:id="rId3965672dbe14a00ca" w:history="1">
        <w:r>
          <w:rPr>
            <w:rFonts w:ascii="Calibri" w:hAnsi="Calibri" w:eastAsia="Calibri" w:cs="Calibri"/>
            <w:color w:val="0000CC"/>
            <w:sz w:val="22"/>
            <w:szCs w:val="22"/>
            <w:u w:val="single"/>
          </w:rPr>
          <w:t xml:space="preserve">http://conservancy.umn.edu/handle/11299/224738</w:t>
        </w:r>
      </w:hyperlink>
      <w:r>
        <w:rPr>
          <w:rFonts w:ascii="Calibri" w:hAnsi="Calibri" w:eastAsia="Calibri" w:cs="Calibri"/>
          <w:color w:val="000000"/>
          <w:sz w:val="22"/>
          <w:szCs w:val="22"/>
        </w:rPr>
        <w:t xml:space="preserve"> [Accessed September 19, 2022].</w:t>
      </w:r>
    </w:p>
    <w:p>
      <w:pPr>
        <w:widowControl w:val="on"/>
        <w:pBdr/>
        <w:spacing w:before="220" w:after="220" w:line="240" w:lineRule="auto"/>
        <w:ind w:left="0" w:right="0"/>
        <w:jc w:val="left"/>
      </w:pPr>
      <w:r>
        <w:rPr>
          <w:rFonts w:ascii="Calibri" w:hAnsi="Calibri" w:eastAsia="Calibri" w:cs="Calibri"/>
          <w:color w:val="000000"/>
          <w:sz w:val="22"/>
          <w:szCs w:val="22"/>
        </w:rPr>
        <w:t xml:space="preserve">Boosalis MG (1952) The epidemiology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on cereals and grasses.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387-395.</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&amp; Verhoyen M (1993) Monoclonal antibodies specific for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bacteria pathogenic on wheat and other small grains, in comparison with polyclonal antisera.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193-288.</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Verdier V &amp; Maraite H (1995) Genetic diversity among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strains pathogenic for small grains.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1020-1026.</w:t>
      </w:r>
    </w:p>
    <w:p>
      <w:pPr>
        <w:widowControl w:val="on"/>
        <w:pBdr/>
        <w:spacing w:before="220" w:after="220" w:line="240" w:lineRule="auto"/>
        <w:ind w:left="0" w:right="0"/>
        <w:jc w:val="left"/>
      </w:pPr>
      <w:r>
        <w:rPr>
          <w:rFonts w:ascii="Calibri" w:hAnsi="Calibri" w:eastAsia="Calibri" w:cs="Calibri"/>
          <w:color w:val="000000"/>
          <w:sz w:val="22"/>
          <w:szCs w:val="22"/>
        </w:rPr>
        <w:t xml:space="preserve">Bragard C, Singer E, Alizadeh A, Vauterin L, Maraite H &amp; Swings J (1997)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small grains: Diversity and phytopathological relevance.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(11), 1111–1117.</w:t>
      </w:r>
    </w:p>
    <w:p>
      <w:pPr>
        <w:widowControl w:val="on"/>
        <w:pBdr/>
        <w:spacing w:before="220" w:after="220" w:line="240" w:lineRule="auto"/>
        <w:ind w:left="0" w:right="0"/>
        <w:jc w:val="left"/>
      </w:pPr>
      <w:r>
        <w:rPr>
          <w:rFonts w:ascii="Calibri" w:hAnsi="Calibri" w:eastAsia="Calibri" w:cs="Calibri"/>
          <w:color w:val="000000"/>
          <w:sz w:val="22"/>
          <w:szCs w:val="22"/>
        </w:rPr>
        <w:t xml:space="preserve">Curland RD, Gao L, Bull CT, Vinatzer BA, Dill-Macky R, Van Eck L &amp; Ishimaru CA (2018) Genetic diversity and virulence of wheat and barley strains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from the Upper Midwestern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(4), 443-453.</w:t>
      </w:r>
    </w:p>
    <w:p>
      <w:pPr>
        <w:widowControl w:val="on"/>
        <w:pBdr/>
        <w:spacing w:before="220" w:after="220" w:line="240" w:lineRule="auto"/>
        <w:ind w:left="0" w:right="0"/>
        <w:jc w:val="left"/>
      </w:pPr>
      <w:r>
        <w:rPr>
          <w:rFonts w:ascii="Calibri" w:hAnsi="Calibri" w:eastAsia="Calibri" w:cs="Calibri"/>
          <w:color w:val="000000"/>
          <w:sz w:val="22"/>
          <w:szCs w:val="22"/>
        </w:rPr>
        <w:t xml:space="preserve">Dinh HX, Singh D, Gomez de la Cruz D, Hensel G, Kumlehn J, Mascher M, Stein N, Perovic D, Ayliffe M, Moscou MJ &amp; Park RF (2022) The barley leaf rust resistance gene Rph3 encodes a predicted membrane protein and is induced upon infection by avirulent pathotypes of </w:t>
      </w:r>
      <w:r>
        <w:rPr>
          <w:rFonts w:ascii="Calibri" w:hAnsi="Calibri" w:eastAsia="Calibri" w:cs="Calibri"/>
          <w:i/>
          <w:iCs/>
          <w:color w:val="000000"/>
          <w:sz w:val="22"/>
          <w:szCs w:val="22"/>
        </w:rPr>
        <w:t xml:space="preserve">Puccinia 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Nature Communications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2386. </w:t>
      </w:r>
      <w:hyperlink r:id="rId7574672dbe14a0415" w:history="1">
        <w:r>
          <w:rPr>
            <w:rFonts w:ascii="Calibri" w:hAnsi="Calibri" w:eastAsia="Calibri" w:cs="Calibri"/>
            <w:color w:val="0000CC"/>
            <w:sz w:val="22"/>
            <w:szCs w:val="22"/>
            <w:u w:val="single"/>
          </w:rPr>
          <w:t xml:space="preserve">https://doi.org/10.1038/s41467-022-29840-1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(1989) Research on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of wheat and triticale at CIMMYT.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97-103.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(1994) Bacterial leaf streak or black chaff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135-158.</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&amp; Bragard C (1992) Comparison of immunofluorescence and two assays for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in seeds of small grains.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999-1003.</w:t>
      </w:r>
    </w:p>
    <w:p>
      <w:pPr>
        <w:widowControl w:val="on"/>
        <w:pBdr/>
        <w:spacing w:before="220" w:after="220" w:line="240" w:lineRule="auto"/>
        <w:ind w:left="0" w:right="0"/>
        <w:jc w:val="left"/>
      </w:pPr>
      <w:r>
        <w:rPr>
          <w:rFonts w:ascii="Calibri" w:hAnsi="Calibri" w:eastAsia="Calibri" w:cs="Calibri"/>
          <w:color w:val="000000"/>
          <w:sz w:val="22"/>
          <w:szCs w:val="22"/>
        </w:rPr>
        <w:t xml:space="preserve">Duveiller E, Bragard C &amp; Maraite H (1997) Bacterial leaf streak and black chaff caused by</w:t>
      </w:r>
      <w:r>
        <w:rPr>
          <w:rFonts w:ascii="Calibri" w:hAnsi="Calibri" w:eastAsia="Calibri" w:cs="Calibri"/>
          <w:i/>
          <w:iCs/>
          <w:color w:val="000000"/>
          <w:sz w:val="22"/>
          <w:szCs w:val="22"/>
        </w:rPr>
        <w:t xml:space="preserve"> Xanthomonas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bacterial diseases of wheat: concepts and methods of disease management. </w:t>
      </w:r>
      <w:r>
        <w:rPr>
          <w:rFonts w:ascii="Calibri" w:hAnsi="Calibri" w:eastAsia="Calibri" w:cs="Calibri"/>
          <w:color w:val="000000"/>
          <w:sz w:val="22"/>
          <w:szCs w:val="22"/>
        </w:rPr>
        <w:t xml:space="preserve">CIMMYT, Mexico, DF, 25–47.</w:t>
      </w:r>
    </w:p>
    <w:p>
      <w:pPr>
        <w:widowControl w:val="on"/>
        <w:pBdr/>
        <w:spacing w:before="220" w:after="220" w:line="240" w:lineRule="auto"/>
        <w:ind w:left="0" w:right="0"/>
        <w:jc w:val="left"/>
      </w:pPr>
      <w:r>
        <w:rPr>
          <w:rFonts w:ascii="Calibri" w:hAnsi="Calibri" w:eastAsia="Calibri" w:cs="Calibri"/>
          <w:color w:val="000000"/>
          <w:sz w:val="22"/>
          <w:szCs w:val="22"/>
        </w:rPr>
        <w:t xml:space="preserve">Failor KC, Schmale DG, Vinatzer BA &amp; Monteil CL (2017) Ice nucleation active bacteria in precipitation are genetically diverse and nucleate ice by employing different mechanisms. </w:t>
      </w:r>
      <w:r>
        <w:rPr>
          <w:rFonts w:ascii="Calibri" w:hAnsi="Calibri" w:eastAsia="Calibri" w:cs="Calibri"/>
          <w:i/>
          <w:iCs/>
          <w:color w:val="000000"/>
          <w:sz w:val="22"/>
          <w:szCs w:val="22"/>
        </w:rPr>
        <w:t xml:space="preserve">The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ISME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(12), 2740–2753. </w:t>
      </w:r>
      <w:hyperlink r:id="rId7534672dbe14a0672" w:history="1">
        <w:r>
          <w:rPr>
            <w:rFonts w:ascii="Calibri" w:hAnsi="Calibri" w:eastAsia="Calibri" w:cs="Calibri"/>
            <w:color w:val="0000CC"/>
            <w:sz w:val="22"/>
            <w:szCs w:val="22"/>
            <w:u w:val="single"/>
          </w:rPr>
          <w:t xml:space="preserve">https://doi.org/10.1038/ismej.2017.124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Forster RL &amp; Schaad NW (1988) Control of black chaff of wheat with seed treatment and a foundation seed health program.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935-938.</w:t>
      </w:r>
    </w:p>
    <w:p>
      <w:pPr>
        <w:widowControl w:val="on"/>
        <w:pBdr/>
        <w:spacing w:before="220" w:after="220" w:line="240" w:lineRule="auto"/>
        <w:ind w:left="0" w:right="0"/>
        <w:jc w:val="left"/>
      </w:pPr>
      <w:r>
        <w:rPr>
          <w:rFonts w:ascii="Calibri" w:hAnsi="Calibri" w:eastAsia="Calibri" w:cs="Calibri"/>
          <w:color w:val="000000"/>
          <w:sz w:val="22"/>
          <w:szCs w:val="22"/>
        </w:rPr>
        <w:t xml:space="preserve">Frommel MI &amp; Pazos G (1994) Detection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-infested wheat seeds by combined liquid medium enrichment and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589-596.</w:t>
      </w:r>
    </w:p>
    <w:p>
      <w:pPr>
        <w:widowControl w:val="on"/>
        <w:pBdr/>
        <w:spacing w:before="220" w:after="220" w:line="240" w:lineRule="auto"/>
        <w:ind w:left="0" w:right="0"/>
        <w:jc w:val="left"/>
      </w:pPr>
      <w:r>
        <w:rPr>
          <w:rFonts w:ascii="Calibri" w:hAnsi="Calibri" w:eastAsia="Calibri" w:cs="Calibri"/>
          <w:color w:val="000000"/>
          <w:sz w:val="22"/>
          <w:szCs w:val="22"/>
        </w:rPr>
        <w:t xml:space="preserve">Gluck-Thaler E, Cerutti A, Perez-Quintero AL, Butchacas J, Roman-Reyna V, Madhavan VN, Shantharaj D, Merfa MV, Pesce C, Jauneau A &amp; Vancheva T (2020) Repeated gain and loss of a single gene modulates the evolution of vascular plant pathogen lifestyles. </w:t>
      </w:r>
      <w:r>
        <w:rPr>
          <w:rFonts w:ascii="Calibri" w:hAnsi="Calibri" w:eastAsia="Calibri" w:cs="Calibri"/>
          <w:i/>
          <w:iCs/>
          <w:color w:val="000000"/>
          <w:sz w:val="22"/>
          <w:szCs w:val="22"/>
        </w:rPr>
        <w:t xml:space="preserve">Science advances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eabc4516. </w:t>
      </w:r>
      <w:hyperlink r:id="rId1806672dbe14a07d7" w:history="1">
        <w:r>
          <w:rPr>
            <w:rFonts w:ascii="Calibri" w:hAnsi="Calibri" w:eastAsia="Calibri" w:cs="Calibri"/>
            <w:color w:val="0000CC"/>
            <w:sz w:val="22"/>
            <w:szCs w:val="22"/>
            <w:u w:val="single"/>
          </w:rPr>
          <w:t xml:space="preserve">https://doi.org/10.1126/sciadv.abc4516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Goettelmann F, Roman-Reyna V, Cunnac S, Jacobs JM, Bragard C, Studer B, Koebnik R &amp; Kölliker R (2021) Complete genome assemblies of all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pathotype strains reveal three genetically distinct clades.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817815. </w:t>
      </w:r>
      <w:hyperlink r:id="rId2931672dbe14a0864" w:history="1">
        <w:r>
          <w:rPr>
            <w:rFonts w:ascii="Calibri" w:hAnsi="Calibri" w:eastAsia="Calibri" w:cs="Calibri"/>
            <w:color w:val="0000CC"/>
            <w:sz w:val="22"/>
            <w:szCs w:val="22"/>
            <w:u w:val="single"/>
          </w:rPr>
          <w:t xml:space="preserve">https://doi.org/10.3389/fmicb.2021.817815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(1982) Epidemiological, genetical, and physiological studies of the bacterial leaf streak pathogen</w:t>
      </w:r>
      <w:r>
        <w:rPr>
          <w:rFonts w:ascii="Calibri" w:hAnsi="Calibri" w:eastAsia="Calibri" w:cs="Calibri"/>
          <w:i/>
          <w:iCs/>
          <w:color w:val="000000"/>
          <w:sz w:val="22"/>
          <w:szCs w:val="22"/>
        </w:rPr>
        <w:t xml:space="preserve"> 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Doctoral dissertation, Montana State University-Bozeman, College of Agriculture.  Available at: </w:t>
      </w:r>
      <w:hyperlink r:id="rId9957672dbe14a08d5" w:history="1">
        <w:r>
          <w:rPr>
            <w:rFonts w:ascii="Calibri" w:hAnsi="Calibri" w:eastAsia="Calibri" w:cs="Calibri"/>
            <w:color w:val="0000CC"/>
            <w:sz w:val="22"/>
            <w:szCs w:val="22"/>
            <w:u w:val="single"/>
          </w:rPr>
          <w:t xml:space="preserve">https://scholarworks.montana.edu/xmlui/bitstream/handle/1/3685/31762001154135.pdf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Heiden N, Roman-Reyna V, Curland R, Dill-Macky R &amp; Jacobs JM (2022) Comparative genomics of Minnesotan barley-infecting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shows overall genomic similarity but virulence factor diversity (preprint). </w:t>
      </w:r>
      <w:r>
        <w:rPr>
          <w:rFonts w:ascii="Calibri" w:hAnsi="Calibri" w:eastAsia="Calibri" w:cs="Calibri"/>
          <w:i/>
          <w:iCs/>
          <w:color w:val="000000"/>
          <w:sz w:val="22"/>
          <w:szCs w:val="22"/>
        </w:rPr>
        <w:t xml:space="preserve">Genomics</w:t>
      </w:r>
      <w:r>
        <w:rPr>
          <w:rFonts w:ascii="Calibri" w:hAnsi="Calibri" w:eastAsia="Calibri" w:cs="Calibri"/>
          <w:color w:val="000000"/>
          <w:sz w:val="22"/>
          <w:szCs w:val="22"/>
        </w:rPr>
        <w:t xml:space="preserve">. </w:t>
      </w:r>
      <w:hyperlink r:id="rId8875672dbe14a0944" w:history="1">
        <w:r>
          <w:rPr>
            <w:rFonts w:ascii="Calibri" w:hAnsi="Calibri" w:eastAsia="Calibri" w:cs="Calibri"/>
            <w:color w:val="0000CC"/>
            <w:sz w:val="22"/>
            <w:szCs w:val="22"/>
            <w:u w:val="single"/>
          </w:rPr>
          <w:t xml:space="preserve">https://doi.org/10.1101/2022.04.05.487151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(1916) Bacterial blights of barley and certain other cereals.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(1134), 432-433.</w:t>
      </w:r>
    </w:p>
    <w:p>
      <w:pPr>
        <w:widowControl w:val="on"/>
        <w:pBdr/>
        <w:spacing w:before="220" w:after="220" w:line="240" w:lineRule="auto"/>
        <w:ind w:left="0" w:right="0"/>
        <w:jc w:val="left"/>
      </w:pPr>
      <w:r>
        <w:rPr>
          <w:rFonts w:ascii="Calibri" w:hAnsi="Calibri" w:eastAsia="Calibri" w:cs="Calibri"/>
          <w:color w:val="000000"/>
          <w:sz w:val="22"/>
          <w:szCs w:val="22"/>
        </w:rPr>
        <w:t xml:space="preserve">Jones LR, Johnson AG &amp; Reddy CS (1917) Bacterial-blight of barley.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11, 625-644.</w:t>
      </w:r>
    </w:p>
    <w:p>
      <w:pPr>
        <w:widowControl w:val="on"/>
        <w:pBdr/>
        <w:spacing w:before="220" w:after="220" w:line="240" w:lineRule="auto"/>
        <w:ind w:left="0" w:right="0"/>
        <w:jc w:val="left"/>
      </w:pPr>
      <w:r>
        <w:rPr>
          <w:rFonts w:ascii="Calibri" w:hAnsi="Calibri" w:eastAsia="Calibri" w:cs="Calibri"/>
          <w:color w:val="000000"/>
          <w:sz w:val="22"/>
          <w:szCs w:val="22"/>
        </w:rPr>
        <w:t xml:space="preserve">Khojasteh M, Taghavi SM, Khodaygan P, Hamzehzarghani H, Chen G, Bragard C, Koebnik R &amp; Osdaghi E (2019) Molecular typing reveals high genetic diversity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strains infecting small-grain cereals in Iran.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(20), e01518-19. </w:t>
      </w:r>
      <w:hyperlink r:id="rId5080672dbe14a0a6a" w:history="1">
        <w:r>
          <w:rPr>
            <w:rFonts w:ascii="Calibri" w:hAnsi="Calibri" w:eastAsia="Calibri" w:cs="Calibri"/>
            <w:color w:val="0000CC"/>
            <w:sz w:val="22"/>
            <w:szCs w:val="22"/>
            <w:u w:val="single"/>
          </w:rPr>
          <w:t xml:space="preserve">https://doi.org/10.1128/AEM.01518-19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HK, Orser C, Lindow SE &amp; Sands DC (1987)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strains active in ice nucleation.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994-997.</w:t>
      </w:r>
    </w:p>
    <w:p>
      <w:pPr>
        <w:widowControl w:val="on"/>
        <w:pBdr/>
        <w:spacing w:before="220" w:after="220" w:line="240" w:lineRule="auto"/>
        <w:ind w:left="0" w:right="0"/>
        <w:jc w:val="left"/>
      </w:pPr>
      <w:r>
        <w:rPr>
          <w:rFonts w:ascii="Calibri" w:hAnsi="Calibri" w:eastAsia="Calibri" w:cs="Calibri"/>
          <w:color w:val="000000"/>
          <w:sz w:val="22"/>
          <w:szCs w:val="22"/>
        </w:rPr>
        <w:t xml:space="preserve">Langlois PA, Snelling J, Hamilton JP, Bragard C, Koebnik R, Verdier V, Triplett LR, Blom J, Tisserat NA &amp; Leach JE (2017) Characterization of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using draft genomes, comparative genomics, phylogenetic analysis, and diagnostic LAMP Assays.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107 </w:t>
      </w:r>
      <w:r>
        <w:rPr>
          <w:rFonts w:ascii="Calibri" w:hAnsi="Calibri" w:eastAsia="Calibri" w:cs="Calibri"/>
          <w:color w:val="000000"/>
          <w:sz w:val="22"/>
          <w:szCs w:val="22"/>
        </w:rPr>
        <w:t xml:space="preserve">(5), 519–27. </w:t>
      </w:r>
      <w:hyperlink r:id="rId4941672dbe14a0b9d" w:history="1">
        <w:r>
          <w:rPr>
            <w:rFonts w:ascii="Calibri" w:hAnsi="Calibri" w:eastAsia="Calibri" w:cs="Calibri"/>
            <w:color w:val="0000CC"/>
            <w:sz w:val="22"/>
            <w:szCs w:val="22"/>
            <w:u w:val="single"/>
          </w:rPr>
          <w:t xml:space="preserve">https://doi.org/10.1094/PHYTO-08-16-0286-R</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Ledman KE, Curland RD, Ishimaru CA &amp; Dill-Macky R (2021)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undulosa</w:t>
      </w:r>
      <w:r>
        <w:rPr>
          <w:rFonts w:ascii="Calibri" w:hAnsi="Calibri" w:eastAsia="Calibri" w:cs="Calibri"/>
          <w:color w:val="000000"/>
          <w:sz w:val="22"/>
          <w:szCs w:val="22"/>
        </w:rPr>
        <w:t xml:space="preserve"> identified on common weedy grasses in naturally infected wheat fields in Minnesota.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1114–1121. </w:t>
      </w:r>
      <w:hyperlink r:id="rId5316672dbe14a0c57" w:history="1">
        <w:r>
          <w:rPr>
            <w:rFonts w:ascii="Calibri" w:hAnsi="Calibri" w:eastAsia="Calibri" w:cs="Calibri"/>
            <w:color w:val="0000CC"/>
            <w:sz w:val="22"/>
            <w:szCs w:val="22"/>
            <w:u w:val="single"/>
          </w:rPr>
          <w:t xml:space="preserve">https://doi.org/10.1094/PHYTO-08-20-0337-R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McGuire RG (1986) Tween media for semiselective isolation of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vesicatoria</w:t>
      </w:r>
      <w:r>
        <w:rPr>
          <w:rFonts w:ascii="Calibri" w:hAnsi="Calibri" w:eastAsia="Calibri" w:cs="Calibri"/>
          <w:color w:val="000000"/>
          <w:sz w:val="22"/>
          <w:szCs w:val="22"/>
        </w:rPr>
        <w:t xml:space="preserve"> from soil and plant material.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(9), 887-891.</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 (2022) Identification and genetic characterization of bacterial leaf streak resistance in barley. Thesis, 245 pp. Available at: </w:t>
      </w:r>
      <w:hyperlink r:id="rId7222672dbe14a0d23" w:history="1">
        <w:r>
          <w:rPr>
            <w:rFonts w:ascii="Calibri" w:hAnsi="Calibri" w:eastAsia="Calibri" w:cs="Calibri"/>
            <w:color w:val="0000CC"/>
            <w:sz w:val="22"/>
            <w:szCs w:val="22"/>
            <w:u w:val="single"/>
          </w:rPr>
          <w:t xml:space="preserve">http://conservancy.umn.edu/handle/11299/227901</w:t>
        </w:r>
      </w:hyperlink>
      <w:r>
        <w:rPr>
          <w:rFonts w:ascii="Calibri" w:hAnsi="Calibri" w:eastAsia="Calibri" w:cs="Calibri"/>
          <w:color w:val="000000"/>
          <w:sz w:val="22"/>
          <w:szCs w:val="22"/>
        </w:rPr>
        <w:t xml:space="preserve"> [Accessed July 13, 2023].</w:t>
      </w:r>
    </w:p>
    <w:p>
      <w:pPr>
        <w:widowControl w:val="on"/>
        <w:pBdr/>
        <w:spacing w:before="220" w:after="220" w:line="240" w:lineRule="auto"/>
        <w:ind w:left="0" w:right="0"/>
        <w:jc w:val="left"/>
      </w:pPr>
      <w:r>
        <w:rPr>
          <w:rFonts w:ascii="Calibri" w:hAnsi="Calibri" w:eastAsia="Calibri" w:cs="Calibri"/>
          <w:color w:val="000000"/>
          <w:sz w:val="22"/>
          <w:szCs w:val="22"/>
        </w:rPr>
        <w:t xml:space="preserve">Ritzinger MG, Smith KP, Case AJ, Wodarek JR, Dill-Macky R, Curland RD &amp; Steffenson BJ (2023) Sources of bacterial leaf streak resistance identified in a diverse collection of barley germplasm</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(3), 802-808.</w:t>
      </w:r>
    </w:p>
    <w:p>
      <w:pPr>
        <w:widowControl w:val="on"/>
        <w:pBdr/>
        <w:spacing w:before="220" w:after="220" w:line="240" w:lineRule="auto"/>
        <w:ind w:left="0" w:right="0"/>
        <w:jc w:val="left"/>
      </w:pPr>
      <w:r>
        <w:rPr>
          <w:rFonts w:ascii="Calibri" w:hAnsi="Calibri" w:eastAsia="Calibri" w:cs="Calibri"/>
          <w:color w:val="000000"/>
          <w:sz w:val="22"/>
          <w:szCs w:val="22"/>
        </w:rPr>
        <w:t xml:space="preserve">Román-Reyna V, Curland RD, Velez-Negron Y, Ledman KE, Gutierrez-Castillo DE, Beutler J, Butchacas J, Brar GS, Roberts R, Dill-Macky R &amp; Jacobs JM (2022) Development of genome-driven, lifestyle-informed markers for identification of the cereal-infecting pathogens </w:t>
      </w:r>
      <w:r>
        <w:rPr>
          <w:rFonts w:ascii="Calibri" w:hAnsi="Calibri" w:eastAsia="Calibri" w:cs="Calibri"/>
          <w:i/>
          <w:iCs/>
          <w:color w:val="000000"/>
          <w:sz w:val="22"/>
          <w:szCs w:val="22"/>
        </w:rPr>
        <w:t xml:space="preserve">Xanthomonas translucens </w:t>
      </w:r>
      <w:r>
        <w:rPr>
          <w:rFonts w:ascii="Calibri" w:hAnsi="Calibri" w:eastAsia="Calibri" w:cs="Calibri"/>
          <w:color w:val="000000"/>
          <w:sz w:val="22"/>
          <w:szCs w:val="22"/>
        </w:rPr>
        <w:t xml:space="preserve">pathovars </w:t>
      </w:r>
      <w:r>
        <w:rPr>
          <w:rFonts w:ascii="Calibri" w:hAnsi="Calibri" w:eastAsia="Calibri" w:cs="Calibri"/>
          <w:i/>
          <w:iCs/>
          <w:color w:val="000000"/>
          <w:sz w:val="22"/>
          <w:szCs w:val="22"/>
        </w:rPr>
        <w:t xml:space="preserve">undulosa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2110-2118. </w:t>
      </w:r>
      <w:hyperlink r:id="rId2830672dbe14a0e42" w:history="1">
        <w:r>
          <w:rPr>
            <w:rFonts w:ascii="Calibri" w:hAnsi="Calibri" w:eastAsia="Calibri" w:cs="Calibri"/>
            <w:color w:val="0000CC"/>
            <w:sz w:val="22"/>
            <w:szCs w:val="22"/>
            <w:u w:val="single"/>
          </w:rPr>
          <w:t xml:space="preserve">https://doi.org/10.1094/PHYTO-07-22-0262-SA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Sarkes A, Yang Y, Dijanovic S, Fu H, Zahr K, Harding MW, Feindel D &amp; Feng J (2022) Detection </w:t>
      </w:r>
      <w:r>
        <w:rPr>
          <w:rFonts w:ascii="Calibri" w:hAnsi="Calibri" w:eastAsia="Calibri" w:cs="Calibri"/>
          <w:i/>
          <w:iCs/>
          <w:color w:val="000000"/>
          <w:sz w:val="22"/>
          <w:szCs w:val="22"/>
        </w:rPr>
        <w:t xml:space="preserve">of Xanthomonas translucens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undulosa,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 </w:t>
      </w:r>
      <w:r>
        <w:rPr>
          <w:rFonts w:ascii="Calibri" w:hAnsi="Calibri" w:eastAsia="Calibri" w:cs="Calibri"/>
          <w:color w:val="000000"/>
          <w:sz w:val="22"/>
          <w:szCs w:val="22"/>
        </w:rPr>
        <w:t xml:space="preserve">and pv.</w:t>
      </w:r>
      <w:r>
        <w:rPr>
          <w:rFonts w:ascii="Calibri" w:hAnsi="Calibri" w:eastAsia="Calibri" w:cs="Calibri"/>
          <w:i/>
          <w:iCs/>
          <w:color w:val="000000"/>
          <w:sz w:val="22"/>
          <w:szCs w:val="22"/>
        </w:rPr>
        <w:t xml:space="preserve"> secalis</w:t>
      </w:r>
      <w:r>
        <w:rPr>
          <w:rFonts w:ascii="Calibri" w:hAnsi="Calibri" w:eastAsia="Calibri" w:cs="Calibri"/>
          <w:color w:val="000000"/>
          <w:sz w:val="22"/>
          <w:szCs w:val="22"/>
        </w:rPr>
        <w:t xml:space="preserve"> by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(11), 2876-2883. </w:t>
      </w:r>
      <w:hyperlink r:id="rId1000672dbe14a0f2a" w:history="1">
        <w:r>
          <w:rPr>
            <w:rFonts w:ascii="Calibri" w:hAnsi="Calibri" w:eastAsia="Calibri" w:cs="Calibri"/>
            <w:color w:val="0000CC"/>
            <w:sz w:val="22"/>
            <w:szCs w:val="22"/>
            <w:u w:val="single"/>
          </w:rPr>
          <w:t xml:space="preserve">https://doi.org/10.1094/PDIS-03-22-0574-RE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Sands DS, Mizrak G, Hall VN, Kim HK, Bockelman HE &amp; Golden MJ (1986) Seed-transmitted bacterial diseases of cereals: epidemiology and control. </w:t>
      </w:r>
      <w:r>
        <w:rPr>
          <w:rFonts w:ascii="Calibri" w:hAnsi="Calibri" w:eastAsia="Calibri" w:cs="Calibri"/>
          <w:i/>
          <w:iCs/>
          <w:color w:val="000000"/>
          <w:sz w:val="22"/>
          <w:szCs w:val="22"/>
        </w:rPr>
        <w:t xml:space="preserve">Arab 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127-125.</w:t>
      </w:r>
    </w:p>
    <w:p>
      <w:pPr>
        <w:widowControl w:val="on"/>
        <w:pBdr/>
        <w:spacing w:before="220" w:after="220" w:line="240" w:lineRule="auto"/>
        <w:ind w:left="0" w:right="0"/>
        <w:jc w:val="left"/>
      </w:pPr>
      <w:r>
        <w:rPr>
          <w:rFonts w:ascii="Calibri" w:hAnsi="Calibri" w:eastAsia="Calibri" w:cs="Calibri"/>
          <w:color w:val="000000"/>
          <w:sz w:val="22"/>
          <w:szCs w:val="22"/>
        </w:rPr>
        <w:t xml:space="preserve">Sands DS &amp; Fourest E (1989) </w:t>
      </w:r>
      <w:r>
        <w:rPr>
          <w:rFonts w:ascii="Calibri" w:hAnsi="Calibri" w:eastAsia="Calibri" w:cs="Calibri"/>
          <w:i/>
          <w:iCs/>
          <w:color w:val="000000"/>
          <w:sz w:val="22"/>
          <w:szCs w:val="22"/>
        </w:rPr>
        <w:t xml:space="preserve">Xanthomonas campestris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in North and South America and in the Middle East.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127-130.</w:t>
      </w:r>
    </w:p>
    <w:p>
      <w:pPr>
        <w:widowControl w:val="on"/>
        <w:pBdr/>
        <w:spacing w:before="220" w:after="220" w:line="240" w:lineRule="auto"/>
        <w:ind w:left="0" w:right="0"/>
        <w:jc w:val="left"/>
      </w:pPr>
      <w:r>
        <w:rPr>
          <w:rFonts w:ascii="Calibri" w:hAnsi="Calibri" w:eastAsia="Calibri" w:cs="Calibri"/>
          <w:color w:val="000000"/>
          <w:sz w:val="22"/>
          <w:szCs w:val="22"/>
        </w:rPr>
        <w:t xml:space="preserve">Sapkota S, Mergoum M &amp; Liu Z (2020) The </w:t>
      </w:r>
      <w:r>
        <w:rPr>
          <w:rFonts w:ascii="Calibri" w:hAnsi="Calibri" w:eastAsia="Calibri" w:cs="Calibri"/>
          <w:i/>
          <w:iCs/>
          <w:color w:val="000000"/>
          <w:sz w:val="22"/>
          <w:szCs w:val="22"/>
        </w:rPr>
        <w:t xml:space="preserve">translucens </w:t>
      </w:r>
      <w:r>
        <w:rPr>
          <w:rFonts w:ascii="Calibri" w:hAnsi="Calibri" w:eastAsia="Calibri" w:cs="Calibri"/>
          <w:color w:val="000000"/>
          <w:sz w:val="22"/>
          <w:szCs w:val="22"/>
        </w:rPr>
        <w:t xml:space="preserve">group of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Complicated and important pathogens causing bacterial leaf streak on cereals.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291–302.</w:t>
      </w:r>
    </w:p>
    <w:p>
      <w:pPr>
        <w:widowControl w:val="on"/>
        <w:pBdr/>
        <w:spacing w:before="220" w:after="220" w:line="240" w:lineRule="auto"/>
        <w:ind w:left="0" w:right="0"/>
        <w:jc w:val="left"/>
      </w:pPr>
      <w:r>
        <w:rPr>
          <w:rFonts w:ascii="Calibri" w:hAnsi="Calibri" w:eastAsia="Calibri" w:cs="Calibri"/>
          <w:color w:val="000000"/>
          <w:sz w:val="22"/>
          <w:szCs w:val="22"/>
        </w:rPr>
        <w:t xml:space="preserve">Shekhawat GS &amp; Patel PN (1978) Histology of barley plant and rice leaf infected with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hordei.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(2), 105-112.</w:t>
      </w:r>
    </w:p>
    <w:p>
      <w:pPr>
        <w:widowControl w:val="on"/>
        <w:pBdr/>
        <w:spacing w:before="220" w:after="220" w:line="240" w:lineRule="auto"/>
        <w:ind w:left="0" w:right="0"/>
        <w:jc w:val="left"/>
      </w:pPr>
      <w:r>
        <w:rPr>
          <w:rFonts w:ascii="Calibri" w:hAnsi="Calibri" w:eastAsia="Calibri" w:cs="Calibri"/>
          <w:color w:val="000000"/>
          <w:sz w:val="22"/>
          <w:szCs w:val="22"/>
        </w:rPr>
        <w:t xml:space="preserve">Tambong JT, Xu R, Fleitas MC, Wang L, Hubbard K &amp; Kutcher R (2023) Phylogenomic insights on the </w:t>
      </w:r>
      <w:r>
        <w:rPr>
          <w:rFonts w:ascii="Calibri" w:hAnsi="Calibri" w:eastAsia="Calibri" w:cs="Calibri"/>
          <w:i/>
          <w:iCs/>
          <w:color w:val="000000"/>
          <w:sz w:val="22"/>
          <w:szCs w:val="22"/>
        </w:rPr>
        <w:t xml:space="preserve">Xanthomonas translucens</w:t>
      </w:r>
      <w:r>
        <w:rPr>
          <w:rFonts w:ascii="Calibri" w:hAnsi="Calibri" w:eastAsia="Calibri" w:cs="Calibri"/>
          <w:color w:val="000000"/>
          <w:sz w:val="22"/>
          <w:szCs w:val="22"/>
        </w:rPr>
        <w:t xml:space="preserve"> complex, and development of a TaqMan real-time assay for specific detection of pv. </w:t>
      </w:r>
      <w:r>
        <w:rPr>
          <w:rFonts w:ascii="Calibri" w:hAnsi="Calibri" w:eastAsia="Calibri" w:cs="Calibri"/>
          <w:i/>
          <w:iCs/>
          <w:color w:val="000000"/>
          <w:sz w:val="22"/>
          <w:szCs w:val="22"/>
        </w:rPr>
        <w:t xml:space="preserve">translucens</w:t>
      </w:r>
      <w:r>
        <w:rPr>
          <w:rFonts w:ascii="Calibri" w:hAnsi="Calibri" w:eastAsia="Calibri" w:cs="Calibri"/>
          <w:color w:val="000000"/>
          <w:sz w:val="22"/>
          <w:szCs w:val="22"/>
        </w:rPr>
        <w:t xml:space="preserve"> on barley.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(11), 2091-2102.</w:t>
      </w:r>
    </w:p>
    <w:p>
      <w:pPr>
        <w:widowControl w:val="on"/>
        <w:pBdr/>
        <w:spacing w:before="220" w:after="220" w:line="240" w:lineRule="auto"/>
        <w:ind w:left="0" w:right="0"/>
        <w:jc w:val="left"/>
      </w:pPr>
      <w:r>
        <w:rPr>
          <w:rFonts w:ascii="Calibri" w:hAnsi="Calibri" w:eastAsia="Calibri" w:cs="Calibri"/>
          <w:color w:val="000000"/>
          <w:sz w:val="22"/>
          <w:szCs w:val="22"/>
        </w:rPr>
        <w:t xml:space="preserve">Timmer LW, Marois JJ &amp; Achor D (1987) Growth and survival of </w:t>
      </w:r>
      <w:r>
        <w:rPr>
          <w:rFonts w:ascii="Calibri" w:hAnsi="Calibri" w:eastAsia="Calibri" w:cs="Calibri"/>
          <w:i/>
          <w:iCs/>
          <w:color w:val="000000"/>
          <w:sz w:val="22"/>
          <w:szCs w:val="22"/>
        </w:rPr>
        <w:t xml:space="preserve">xanthomonads</w:t>
      </w:r>
      <w:r>
        <w:rPr>
          <w:rFonts w:ascii="Calibri" w:hAnsi="Calibri" w:eastAsia="Calibri" w:cs="Calibri"/>
          <w:color w:val="000000"/>
          <w:sz w:val="22"/>
          <w:szCs w:val="22"/>
        </w:rPr>
        <w:t xml:space="preserve"> under conditions non-conducive to disease development.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1341-1345.</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&amp;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Yang P, Hoste B, Pot B, Swings J &amp; Kersters K (1992) Taxonomy of xanthomonads from cereals and grasses based on SDS-PAGE of proteins, fatty acid analysis and DNA hybridization. </w:t>
      </w:r>
      <w:r>
        <w:rPr>
          <w:rFonts w:ascii="Calibri" w:hAnsi="Calibri" w:eastAsia="Calibri" w:cs="Calibri"/>
          <w:i/>
          <w:iCs/>
          <w:color w:val="000000"/>
          <w:sz w:val="22"/>
          <w:szCs w:val="22"/>
        </w:rPr>
        <w:t xml:space="preserve">Journal of General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1467-1477.</w:t>
      </w:r>
    </w:p>
    <w:p>
      <w:pPr>
        <w:widowControl w:val="on"/>
        <w:pBdr/>
        <w:spacing w:before="220" w:after="220" w:line="240" w:lineRule="auto"/>
        <w:ind w:left="0" w:right="0"/>
        <w:jc w:val="left"/>
      </w:pPr>
      <w:r>
        <w:rPr>
          <w:rFonts w:ascii="Calibri" w:hAnsi="Calibri" w:eastAsia="Calibri" w:cs="Calibri"/>
          <w:color w:val="000000"/>
          <w:sz w:val="22"/>
          <w:szCs w:val="22"/>
        </w:rPr>
        <w:t xml:space="preserve">Zhao JI &amp; Orser CS (1990) Conserved repetition in the ice nucleation gene inaX from </w:t>
      </w:r>
      <w:r>
        <w:rPr>
          <w:rFonts w:ascii="Calibri" w:hAnsi="Calibri" w:eastAsia="Calibri" w:cs="Calibri"/>
          <w:i/>
          <w:iCs/>
          <w:color w:val="000000"/>
          <w:sz w:val="22"/>
          <w:szCs w:val="22"/>
        </w:rPr>
        <w:t xml:space="preserve">Xanthomonas campestris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translucens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and General Genetics </w:t>
      </w:r>
      <w:r>
        <w:rPr>
          <w:rFonts w:ascii="Calibri" w:hAnsi="Calibri" w:eastAsia="Calibri" w:cs="Calibri"/>
          <w:b/>
          <w:bCs/>
          <w:color w:val="000000"/>
          <w:sz w:val="22"/>
          <w:szCs w:val="22"/>
        </w:rPr>
        <w:t xml:space="preserve">223</w:t>
      </w:r>
      <w:r>
        <w:rPr>
          <w:rFonts w:ascii="Calibri" w:hAnsi="Calibri" w:eastAsia="Calibri" w:cs="Calibri"/>
          <w:color w:val="000000"/>
          <w:sz w:val="22"/>
          <w:szCs w:val="22"/>
        </w:rPr>
        <w:t xml:space="preserve">, 163-166.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created by main-author Jules Butchacas and co-authors Nathaniel Heiden and Dr. Jonathan M. Jacobs of The Ohio State University and Dr. Ralf Koebnik of the Plant Health Institute of Montpellier, France.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Xanthomonas translucens pv. translucens</w:t>
      </w:r>
      <w:r>
        <w:rPr>
          <w:rFonts w:ascii="Calibri" w:hAnsi="Calibri" w:eastAsia="Calibri" w:cs="Calibri"/>
          <w:color w:val="000000"/>
          <w:sz w:val="22"/>
          <w:szCs w:val="22"/>
        </w:rPr>
        <w:t xml:space="preserve">. EPPO datasheets on pests recommended for regulation. Available online. </w:t>
      </w:r>
      <w:hyperlink r:id="rId8363672dbe14a148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5413184" name="name8162672dbe14a15c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394672dbe14a15c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451822">
    <w:multiLevelType w:val="hybridMultilevel"/>
    <w:lvl w:ilvl="0" w:tplc="80274004">
      <w:start w:val="1"/>
      <w:numFmt w:val="decimal"/>
      <w:lvlText w:val="%1."/>
      <w:lvlJc w:val="left"/>
      <w:pPr>
        <w:ind w:left="720" w:hanging="360"/>
      </w:pPr>
    </w:lvl>
    <w:lvl w:ilvl="1" w:tplc="80274004" w:tentative="1">
      <w:start w:val="1"/>
      <w:numFmt w:val="lowerLetter"/>
      <w:lvlText w:val="%2."/>
      <w:lvlJc w:val="left"/>
      <w:pPr>
        <w:ind w:left="1440" w:hanging="360"/>
      </w:pPr>
    </w:lvl>
    <w:lvl w:ilvl="2" w:tplc="80274004" w:tentative="1">
      <w:start w:val="1"/>
      <w:numFmt w:val="lowerRoman"/>
      <w:lvlText w:val="%3."/>
      <w:lvlJc w:val="right"/>
      <w:pPr>
        <w:ind w:left="2160" w:hanging="180"/>
      </w:pPr>
    </w:lvl>
    <w:lvl w:ilvl="3" w:tplc="80274004" w:tentative="1">
      <w:start w:val="1"/>
      <w:numFmt w:val="decimal"/>
      <w:lvlText w:val="%4."/>
      <w:lvlJc w:val="left"/>
      <w:pPr>
        <w:ind w:left="2880" w:hanging="360"/>
      </w:pPr>
    </w:lvl>
    <w:lvl w:ilvl="4" w:tplc="80274004" w:tentative="1">
      <w:start w:val="1"/>
      <w:numFmt w:val="lowerLetter"/>
      <w:lvlText w:val="%5."/>
      <w:lvlJc w:val="left"/>
      <w:pPr>
        <w:ind w:left="3600" w:hanging="360"/>
      </w:pPr>
    </w:lvl>
    <w:lvl w:ilvl="5" w:tplc="80274004" w:tentative="1">
      <w:start w:val="1"/>
      <w:numFmt w:val="lowerRoman"/>
      <w:lvlText w:val="%6."/>
      <w:lvlJc w:val="right"/>
      <w:pPr>
        <w:ind w:left="4320" w:hanging="180"/>
      </w:pPr>
    </w:lvl>
    <w:lvl w:ilvl="6" w:tplc="80274004" w:tentative="1">
      <w:start w:val="1"/>
      <w:numFmt w:val="decimal"/>
      <w:lvlText w:val="%7."/>
      <w:lvlJc w:val="left"/>
      <w:pPr>
        <w:ind w:left="5040" w:hanging="360"/>
      </w:pPr>
    </w:lvl>
    <w:lvl w:ilvl="7" w:tplc="80274004" w:tentative="1">
      <w:start w:val="1"/>
      <w:numFmt w:val="lowerLetter"/>
      <w:lvlText w:val="%8."/>
      <w:lvlJc w:val="left"/>
      <w:pPr>
        <w:ind w:left="5760" w:hanging="360"/>
      </w:pPr>
    </w:lvl>
    <w:lvl w:ilvl="8" w:tplc="80274004" w:tentative="1">
      <w:start w:val="1"/>
      <w:numFmt w:val="lowerRoman"/>
      <w:lvlText w:val="%9."/>
      <w:lvlJc w:val="right"/>
      <w:pPr>
        <w:ind w:left="6480" w:hanging="180"/>
      </w:pPr>
    </w:lvl>
  </w:abstractNum>
  <w:abstractNum w:abstractNumId="54451821">
    <w:multiLevelType w:val="hybridMultilevel"/>
    <w:lvl w:ilvl="0" w:tplc="534703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451821">
    <w:abstractNumId w:val="54451821"/>
  </w:num>
  <w:num w:numId="54451822">
    <w:abstractNumId w:val="544518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2290448" Type="http://schemas.microsoft.com/office/2011/relationships/commentsExtended" Target="commentsExtended.xml"/><Relationship Id="rId373316330" Type="http://schemas.microsoft.com/office/2011/relationships/people" Target="people.xml"/><Relationship Id="rId3953672dbe149ca91" Type="http://schemas.openxmlformats.org/officeDocument/2006/relationships/hyperlink" Target="https://gd.eppo.int/taxon/XANTTR/" TargetMode="External"/><Relationship Id="rId9312672dbe149cadb" Type="http://schemas.openxmlformats.org/officeDocument/2006/relationships/hyperlink" Target="https://gd.eppo.int/taxon/XANTTR/categorization" TargetMode="External"/><Relationship Id="rId2073672dbe149d025" Type="http://schemas.openxmlformats.org/officeDocument/2006/relationships/hyperlink" Target="https://gd.eppo.int/taxon/XANTTR/photos" TargetMode="External"/><Relationship Id="rId2855672dbe14a0070" Type="http://schemas.openxmlformats.org/officeDocument/2006/relationships/hyperlink" Target="https://doi.org/10.1094/PDIS-09-22-2112-PDN" TargetMode="External"/><Relationship Id="rId3965672dbe14a00ca" Type="http://schemas.openxmlformats.org/officeDocument/2006/relationships/hyperlink" Target="http://conservancy.umn.edu/handle/11299/224738" TargetMode="External"/><Relationship Id="rId7574672dbe14a0415" Type="http://schemas.openxmlformats.org/officeDocument/2006/relationships/hyperlink" Target="https://doi.org/10.1038/s41467-022-29840-1" TargetMode="External"/><Relationship Id="rId7534672dbe14a0672" Type="http://schemas.openxmlformats.org/officeDocument/2006/relationships/hyperlink" Target="https://doi.org/10.1038/ismej.2017.124" TargetMode="External"/><Relationship Id="rId1806672dbe14a07d7" Type="http://schemas.openxmlformats.org/officeDocument/2006/relationships/hyperlink" Target="https://doi.org/10.1126/sciadv.abc4516" TargetMode="External"/><Relationship Id="rId2931672dbe14a0864" Type="http://schemas.openxmlformats.org/officeDocument/2006/relationships/hyperlink" Target="https://doi.org/10.3389/fmicb.2021.817815" TargetMode="External"/><Relationship Id="rId9957672dbe14a08d5" Type="http://schemas.openxmlformats.org/officeDocument/2006/relationships/hyperlink" Target="https://scholarworks.montana.edu/xmlui/bitstream/handle/1/3685/31762001154135.pdf" TargetMode="External"/><Relationship Id="rId8875672dbe14a0944" Type="http://schemas.openxmlformats.org/officeDocument/2006/relationships/hyperlink" Target="https://doi.org/10.1101/2022.04.05.487151" TargetMode="External"/><Relationship Id="rId5080672dbe14a0a6a" Type="http://schemas.openxmlformats.org/officeDocument/2006/relationships/hyperlink" Target="https://doi.org/10.1128/AEM.01518-19" TargetMode="External"/><Relationship Id="rId4941672dbe14a0b9d" Type="http://schemas.openxmlformats.org/officeDocument/2006/relationships/hyperlink" Target="https://doi.org/10.1094/PHYTO-08-16-0286-R" TargetMode="External"/><Relationship Id="rId5316672dbe14a0c57" Type="http://schemas.openxmlformats.org/officeDocument/2006/relationships/hyperlink" Target="https://doi.org/10.1094/PHYTO-08-20-0337-R" TargetMode="External"/><Relationship Id="rId7222672dbe14a0d23" Type="http://schemas.openxmlformats.org/officeDocument/2006/relationships/hyperlink" Target="http://conservancy.umn.edu/handle/11299/227901" TargetMode="External"/><Relationship Id="rId2830672dbe14a0e42" Type="http://schemas.openxmlformats.org/officeDocument/2006/relationships/hyperlink" Target="https://doi.org/10.1094/PHYTO-07-22-0262-SA" TargetMode="External"/><Relationship Id="rId1000672dbe14a0f2a" Type="http://schemas.openxmlformats.org/officeDocument/2006/relationships/hyperlink" Target="https://doi.org/10.1094/PDIS-03-22-0574-RE" TargetMode="External"/><Relationship Id="rId8363672dbe14a148b" Type="http://schemas.openxmlformats.org/officeDocument/2006/relationships/hyperlink" Target="https://gd.eppo.int" TargetMode="External"/><Relationship Id="rId7745672dbe149ce96" Type="http://schemas.openxmlformats.org/officeDocument/2006/relationships/image" Target="media/imgrId7745672dbe149ce96.jpg"/><Relationship Id="rId9658672dbe149e8f8" Type="http://schemas.openxmlformats.org/officeDocument/2006/relationships/image" Target="media/imgrId9658672dbe149e8f8.jpg"/><Relationship Id="rId3394672dbe14a15c8" Type="http://schemas.openxmlformats.org/officeDocument/2006/relationships/image" Target="media/imgrId3394672dbe14a15c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