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americanum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both"/>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bricolense,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americanum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Cobb</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Tylencholaimus americanus</w:t>
            </w:r>
            <w:r>
              <w:rPr>
                <w:rFonts w:ascii="Calibri" w:hAnsi="Calibri" w:eastAsia="Calibri" w:cs="Calibri"/>
                <w:color w:val="000000"/>
                <w:position w:val="-3"/>
                <w:sz w:val="22"/>
                <w:szCs w:val="22"/>
              </w:rPr>
              <w:t xml:space="preserve"> (Cobb) Micoletzky, </w:t>
            </w:r>
            <w:r>
              <w:rPr>
                <w:rFonts w:ascii="Calibri" w:hAnsi="Calibri" w:eastAsia="Calibri" w:cs="Calibri"/>
                <w:i/>
                <w:iCs/>
                <w:color w:val="000000"/>
                <w:position w:val="-3"/>
                <w:sz w:val="22"/>
                <w:szCs w:val="22"/>
              </w:rPr>
              <w:t xml:space="preserve">Xiphinema americanum</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dagger nematode, tobacco ring nematode</w:t>
            </w:r>
            <w:hyperlink r:id="rId27876805188b2402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166805188b241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XIPHAA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americanum sensu stricto (s.s)</w:t>
      </w:r>
      <w:r>
        <w:rPr>
          <w:rFonts w:ascii="Calibri" w:hAnsi="Calibri" w:eastAsia="Calibri" w:cs="Calibri"/>
          <w:color w:val="000000"/>
          <w:sz w:val="22"/>
          <w:szCs w:val="22"/>
        </w:rPr>
        <w:t xml:space="preserve">. Cobb, 1913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species that have been confirmed as virus vectors can be recommended yet. 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transmits viruses.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reported that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transmits cherry rasp leaf virus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tobacco ringspot virus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tomato ringspot virus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as a vector of peach rosette mosaic virus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however,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The ability to transmit virus may also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the broad-spectrum virus transmission capabilities of the North American populations compared with the relatively narrow specificity of transmission that exists between indigenous European viruses and their vector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The host plant range of these viruses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has been reported from North America and has not been reported in the EPPO region.</w:t>
      </w:r>
    </w:p>
    <w:p>
      <w:r>
        <w:drawing>
          <wp:inline distT="0" distB="0" distL="0" distR="0">
            <wp:extent cx="6120000" cy="3067200"/>
            <wp:docPr id="7715196" name="name43226805188b25a4e" descr="XIPHA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AA_distribution_map.jpg"/>
                    <pic:cNvPicPr/>
                  </pic:nvPicPr>
                  <pic:blipFill>
                    <a:blip r:embed="rId67826805188b25a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Florida, Georgia, Illinois, Indiana, Iowa, Kansas, Louisiana, Maryland, Massachusetts, Michigan, Minnesota, Mississippi, Missouri, New York, North Carolina, North Dakota, Oklahoma, Oregon, Pennsylvania, Rhode Island, South Carolina, South Dakota,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However, the viruses do not persist during the successive juvenile developmental stages (Bitterlin &amp; Gonsalves, 1986; Hunt, 1993;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nematodes are minute, soft-bodied, vermiform and almost transparent. They have a hard, needle-like stylet (odontostyle and odontophore) at the mouth-end of the body. General morphological characteristics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species (usually &lt;150 μm) stylet (odontostyle + odontophore), thick cuticular lining of the pharynx, males usually absent or rare, female genital branches equally developed, uterus short and without Z-organ, presence of symbiotic bacteria surrounding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be detected by extraction from soil or growing media (as is the case with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adhered to plant roots, bulbs and tubers. Consequently,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be found following processing of plant material using other methods such as modified Baermann processes. Detailed descriptions of extraction equipment and procedures can be found in EPPO PM 7/119 Nematode extraction (EPPO, 2013). Following extraction, nematodes are examined using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spends the entirety of its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is linked to its capacity to vector of the following American viruses (Taylor &amp; Brown, 1981), which are important mainly on fruit crops: ToRSV, TRSV, CLRV and PRMV.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Reported effects of the viruses on economically important crops were performed by NVWA (2010). Adverse economic effects caused by ToRSV are principally related to fruit crops, particularly grapes and raspberries. In grapes, yield reductions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however it was not detected in neighboring peach orchards (Sertkaya, 2010). Among the horticultural crops ToRSV has been reported to produce symptoms on leaves of pelargonium, making plants unmarketable.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although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Longer term (decades), the virus-vector combination is expected to spread further mainly by human assistance and the impact may become similar to that in the USA where both the virus and vector are present.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However,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for the EPPO region is linked to the capacity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to transmit three American viruses CRLV, TRSV and ToRSV, which are also quarantine pathogens.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may thus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create an additional phytosanitary risk of more rapid spread, and more complex measures for the certification of virus-free material of fruit crops would be needed. Populations of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nematode (and associated viruses) is slow and considered to be at maximum 1 m per year. The virus and its vector may spread over longer distance with trade of plants with soil attached but the total infested area will increase slowly. Thus, on the short term, e.g. the first 10 years after introduction the impact is deemed to be low (NVWA, 2010) and only very local impact may occur. On a longer term (decades), the virus-vector combination is expected to spread further mainly by human assistance and the impact may become similar to that in the USA where both the virus and vector are present (NVWA, 2010). In Europe the impact of ToRSV and TRSV in combination with the vector may become higher than in the USA because of the limited availability of soil fumigants.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Klos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reported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species as a vector of PRMV, it is unclear whether, </w:t>
      </w:r>
      <w:r>
        <w:rPr>
          <w:rFonts w:ascii="Calibri" w:hAnsi="Calibri" w:eastAsia="Calibri" w:cs="Calibri"/>
          <w:i/>
          <w:iCs/>
          <w:color w:val="000000"/>
          <w:sz w:val="22"/>
          <w:szCs w:val="22"/>
        </w:rPr>
        <w:t xml:space="preserve">X. americanum</w:t>
      </w:r>
      <w:r>
        <w:rPr>
          <w:rFonts w:ascii="Calibri" w:hAnsi="Calibri" w:eastAsia="Calibri" w:cs="Calibri"/>
          <w:i/>
          <w:iCs/>
          <w:color w:val="000000"/>
          <w:sz w:val="22"/>
          <w:szCs w:val="22"/>
        </w:rPr>
        <w:t xml:space="preserve">s.s.</w:t>
      </w:r>
      <w:r>
        <w:rPr>
          <w:rFonts w:ascii="Calibri" w:hAnsi="Calibri" w:eastAsia="Calibri" w:cs="Calibri"/>
          <w:color w:val="000000"/>
          <w:sz w:val="22"/>
          <w:szCs w:val="22"/>
        </w:rPr>
        <w:t xml:space="preserve"> can vector PRMV. Should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be proven as a vector of PRMV this would result in additional risk as PRMV was detected at a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soil from non-EPPO countries where </w:t>
      </w:r>
      <w:r>
        <w:rPr>
          <w:rFonts w:ascii="Calibri" w:hAnsi="Calibri" w:eastAsia="Calibri" w:cs="Calibri"/>
          <w:i/>
          <w:iCs/>
          <w:color w:val="000000"/>
          <w:sz w:val="22"/>
          <w:szCs w:val="22"/>
        </w:rPr>
        <w:t xml:space="preserve">X. americanum sensu s.s.</w:t>
      </w:r>
      <w:r>
        <w:rPr>
          <w:rFonts w:ascii="Calibri" w:hAnsi="Calibri" w:eastAsia="Calibri" w:cs="Calibri"/>
          <w:color w:val="000000"/>
          <w:sz w:val="22"/>
          <w:szCs w:val="22"/>
        </w:rPr>
        <w:t xml:space="preserve"> occurs should be prohibited. Plants with roots may also be prohibited or precautions should be taken to ensure that the nematodes will not be carried in the roots. The field from which the plants came should have been tested and found free from the nematodes and, if the plants were in a growing medium, that must be either inorganic or have been tested, or treated against nematodes. If this is not the case, soil or growing medium attached to the plants can be removed and after removal, the plants can be repotted in pest-free soil or growing medium before export. Plants should have then been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specific conditions to prevent infestation help to reduce the risk of introduction and spread of TRSV, ToRSV and CRLV and </w:t>
      </w:r>
      <w:r>
        <w:rPr>
          <w:rFonts w:ascii="Calibri" w:hAnsi="Calibri" w:eastAsia="Calibri" w:cs="Calibri"/>
          <w:i/>
          <w:iCs/>
          <w:color w:val="000000"/>
          <w:sz w:val="22"/>
          <w:szCs w:val="22"/>
        </w:rPr>
        <w:t xml:space="preserve">X. americanum s.s.</w:t>
      </w:r>
      <w:r>
        <w:rPr>
          <w:rFonts w:ascii="Calibri" w:hAnsi="Calibri" w:eastAsia="Calibri" w:cs="Calibri"/>
          <w:color w:val="000000"/>
          <w:sz w:val="22"/>
          <w:szCs w:val="22"/>
        </w:rPr>
        <w:t xml:space="preserve"> vector nematodes. Only planting material originating from areas where these viruses and their vector have not been reported, and where surveillance is carried out to confirm the absence of the pest (Pest Free Area, Pest Free Production Site) could be declared as pest free material and could be therefore used in the EU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certified or tested plants for planting help to reduce the risk of introducing and spreading of viruses not present or having a limited distribution in the region, and of their vector nematodes. Only planting material originating from areas where these viruses and their vector nematodes have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MW &amp; Gonsalves D (1987) Spatial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and persistence of tomato ringspot virus and its vector in soil.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408-411.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(1913) New nematode genera found inhabiting freshwater and non-brackish soils. </w:t>
      </w:r>
      <w:r>
        <w:rPr>
          <w:rFonts w:ascii="Calibri" w:hAnsi="Calibri" w:eastAsia="Calibri" w:cs="Calibri"/>
          <w:i/>
          <w:iCs/>
          <w:color w:val="000000"/>
          <w:sz w:val="22"/>
          <w:szCs w:val="22"/>
        </w:rPr>
        <w:t xml:space="preserve">Journal of the Washington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432–444.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73426805188b26a50"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19046805188b26bbf"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517.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65846805188b26d8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Wallingford, CABI,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Klos EJ, Fronek F, Knierim JA &amp; Cation D (1967) Peach rosette mosaic transmission and control studies.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287-293.</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9706805188b26f50"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22686805188b26fa1"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 yellow vein diseases by </w:t>
      </w:r>
      <w:r>
        <w:rPr>
          <w:rFonts w:ascii="Calibri" w:hAnsi="Calibri" w:eastAsia="Calibri" w:cs="Calibri"/>
          <w:i/>
          <w:iCs/>
          <w:color w:val="000000"/>
          <w:sz w:val="22"/>
          <w:szCs w:val="22"/>
        </w:rPr>
        <w:t xml:space="preserve">Xiphinema americanum.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7376805188b27237"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Tom Prior.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EPPO datasheets on pests recommended for regulation. Available online. </w:t>
      </w:r>
      <w:hyperlink r:id="rId67146805188b272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20046805188b2740a"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80782188" name="name53846805188b274a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696805188b274a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16249">
    <w:multiLevelType w:val="hybridMultilevel"/>
    <w:lvl w:ilvl="0" w:tplc="81132617">
      <w:start w:val="1"/>
      <w:numFmt w:val="decimal"/>
      <w:lvlText w:val="%1."/>
      <w:lvlJc w:val="left"/>
      <w:pPr>
        <w:ind w:left="720" w:hanging="360"/>
      </w:pPr>
    </w:lvl>
    <w:lvl w:ilvl="1" w:tplc="81132617" w:tentative="1">
      <w:start w:val="1"/>
      <w:numFmt w:val="lowerLetter"/>
      <w:lvlText w:val="%2."/>
      <w:lvlJc w:val="left"/>
      <w:pPr>
        <w:ind w:left="1440" w:hanging="360"/>
      </w:pPr>
    </w:lvl>
    <w:lvl w:ilvl="2" w:tplc="81132617" w:tentative="1">
      <w:start w:val="1"/>
      <w:numFmt w:val="lowerRoman"/>
      <w:lvlText w:val="%3."/>
      <w:lvlJc w:val="right"/>
      <w:pPr>
        <w:ind w:left="2160" w:hanging="180"/>
      </w:pPr>
    </w:lvl>
    <w:lvl w:ilvl="3" w:tplc="81132617" w:tentative="1">
      <w:start w:val="1"/>
      <w:numFmt w:val="decimal"/>
      <w:lvlText w:val="%4."/>
      <w:lvlJc w:val="left"/>
      <w:pPr>
        <w:ind w:left="2880" w:hanging="360"/>
      </w:pPr>
    </w:lvl>
    <w:lvl w:ilvl="4" w:tplc="81132617" w:tentative="1">
      <w:start w:val="1"/>
      <w:numFmt w:val="lowerLetter"/>
      <w:lvlText w:val="%5."/>
      <w:lvlJc w:val="left"/>
      <w:pPr>
        <w:ind w:left="3600" w:hanging="360"/>
      </w:pPr>
    </w:lvl>
    <w:lvl w:ilvl="5" w:tplc="81132617" w:tentative="1">
      <w:start w:val="1"/>
      <w:numFmt w:val="lowerRoman"/>
      <w:lvlText w:val="%6."/>
      <w:lvlJc w:val="right"/>
      <w:pPr>
        <w:ind w:left="4320" w:hanging="180"/>
      </w:pPr>
    </w:lvl>
    <w:lvl w:ilvl="6" w:tplc="81132617" w:tentative="1">
      <w:start w:val="1"/>
      <w:numFmt w:val="decimal"/>
      <w:lvlText w:val="%7."/>
      <w:lvlJc w:val="left"/>
      <w:pPr>
        <w:ind w:left="5040" w:hanging="360"/>
      </w:pPr>
    </w:lvl>
    <w:lvl w:ilvl="7" w:tplc="81132617" w:tentative="1">
      <w:start w:val="1"/>
      <w:numFmt w:val="lowerLetter"/>
      <w:lvlText w:val="%8."/>
      <w:lvlJc w:val="left"/>
      <w:pPr>
        <w:ind w:left="5760" w:hanging="360"/>
      </w:pPr>
    </w:lvl>
    <w:lvl w:ilvl="8" w:tplc="81132617" w:tentative="1">
      <w:start w:val="1"/>
      <w:numFmt w:val="lowerRoman"/>
      <w:lvlText w:val="%9."/>
      <w:lvlJc w:val="right"/>
      <w:pPr>
        <w:ind w:left="6480" w:hanging="180"/>
      </w:pPr>
    </w:lvl>
  </w:abstractNum>
  <w:abstractNum w:abstractNumId="89916248">
    <w:multiLevelType w:val="hybridMultilevel"/>
    <w:lvl w:ilvl="0" w:tplc="649683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16248">
    <w:abstractNumId w:val="89916248"/>
  </w:num>
  <w:num w:numId="89916249">
    <w:abstractNumId w:val="899162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287301" Type="http://schemas.microsoft.com/office/2011/relationships/commentsExtended" Target="commentsExtended.xml"/><Relationship Id="rId914593349" Type="http://schemas.microsoft.com/office/2011/relationships/people" Target="people.xml"/><Relationship Id="rId27876805188b24026" Type="http://schemas.openxmlformats.org/officeDocument/2006/relationships/hyperlink" Target="https://gd.eppo.int/taxon/XIPHAA/" TargetMode="External"/><Relationship Id="rId14166805188b2415e" Type="http://schemas.openxmlformats.org/officeDocument/2006/relationships/hyperlink" Target="https://gd.eppo.int/taxon/XIPHAA/categorization" TargetMode="External"/><Relationship Id="rId73426805188b26a50" Type="http://schemas.openxmlformats.org/officeDocument/2006/relationships/hyperlink" Target="https://doi.org/10.2903/j.efsa.2018.5298" TargetMode="External"/><Relationship Id="rId19046805188b26bbf" Type="http://schemas.openxmlformats.org/officeDocument/2006/relationships/hyperlink" Target="https://secure.fera.defra.gov.uk/" TargetMode="External"/><Relationship Id="rId65846805188b26d85" Type="http://schemas.openxmlformats.org/officeDocument/2006/relationships/hyperlink" Target="https://entnemdept.ifas.ufl.edu/creatures/nematode/dagger_nematode.htm" TargetMode="External"/><Relationship Id="rId69706805188b26f50" Type="http://schemas.openxmlformats.org/officeDocument/2006/relationships/hyperlink" Target="https://doi.org/10.1371/journal.pone.0217506" TargetMode="External"/><Relationship Id="rId22686805188b26fa1" Type="http://schemas.openxmlformats.org/officeDocument/2006/relationships/hyperlink" Target="https://pra.eppo.int/pra/1eb7d285-8ce3-4170-8f95-9a1b44547555" TargetMode="External"/><Relationship Id="rId17376805188b27237" Type="http://schemas.openxmlformats.org/officeDocument/2006/relationships/hyperlink" Target="https://doi.org/10.21307/jofnem-2019-007" TargetMode="External"/><Relationship Id="rId67146805188b272ed" Type="http://schemas.openxmlformats.org/officeDocument/2006/relationships/hyperlink" Target="https://gd.eppo.int" TargetMode="External"/><Relationship Id="rId20046805188b2740a" Type="http://schemas.openxmlformats.org/officeDocument/2006/relationships/hyperlink" Target="https://doi.org/10.1111/j.1365-2338.1984.tb01984.x" TargetMode="External"/><Relationship Id="rId67826805188b25a3c" Type="http://schemas.openxmlformats.org/officeDocument/2006/relationships/image" Target="media/imgrId67826805188b25a3c.jpg"/><Relationship Id="rId23696805188b274a6" Type="http://schemas.openxmlformats.org/officeDocument/2006/relationships/image" Target="media/imgrId23696805188b274a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